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C99" w:rsidRPr="00D07C7C" w:rsidRDefault="002D2C99" w:rsidP="00D07C7C">
      <w:pPr>
        <w:jc w:val="center"/>
        <w:rPr>
          <w:lang w:val="fr-FR"/>
        </w:rPr>
      </w:pPr>
      <w:bookmarkStart w:id="0" w:name="_GoBack"/>
      <w:bookmarkEnd w:id="0"/>
    </w:p>
    <w:p w:rsidR="00837D52" w:rsidRPr="00D07C7C" w:rsidRDefault="00837D52" w:rsidP="00D07C7C">
      <w:pPr>
        <w:jc w:val="center"/>
        <w:rPr>
          <w:lang w:val="fr-FR"/>
        </w:rPr>
      </w:pPr>
    </w:p>
    <w:p w:rsidR="002D2C99" w:rsidRPr="00D07C7C" w:rsidRDefault="002D2C99" w:rsidP="00D07C7C">
      <w:pPr>
        <w:jc w:val="center"/>
        <w:rPr>
          <w:lang w:val="fr-FR"/>
        </w:rPr>
      </w:pPr>
    </w:p>
    <w:p w:rsidR="002D2C99" w:rsidRPr="00D07C7C" w:rsidRDefault="00847E84" w:rsidP="00D07C7C">
      <w:pPr>
        <w:tabs>
          <w:tab w:val="left" w:pos="5529"/>
        </w:tabs>
        <w:jc w:val="center"/>
        <w:rPr>
          <w:lang w:val="fr-FR"/>
        </w:rPr>
      </w:pPr>
      <w:r w:rsidRPr="00D07C7C">
        <w:rPr>
          <w:lang w:val="fr-FR"/>
        </w:rPr>
        <w:t>PREMIÈRE SECTION</w:t>
      </w:r>
    </w:p>
    <w:p w:rsidR="002D2C99" w:rsidRPr="00D07C7C" w:rsidRDefault="002D2C99" w:rsidP="00D07C7C">
      <w:pPr>
        <w:jc w:val="center"/>
        <w:rPr>
          <w:lang w:val="fr-FR"/>
        </w:rPr>
      </w:pPr>
    </w:p>
    <w:p w:rsidR="002D2C99" w:rsidRPr="00D07C7C" w:rsidRDefault="002D2C99" w:rsidP="00D07C7C">
      <w:pPr>
        <w:jc w:val="center"/>
        <w:rPr>
          <w:lang w:val="fr-FR"/>
        </w:rPr>
      </w:pPr>
    </w:p>
    <w:p w:rsidR="002D2C99" w:rsidRPr="00D07C7C" w:rsidRDefault="002D2C99" w:rsidP="00D07C7C">
      <w:pPr>
        <w:jc w:val="center"/>
        <w:rPr>
          <w:lang w:val="fr-FR"/>
        </w:rPr>
      </w:pPr>
    </w:p>
    <w:p w:rsidR="002D2C99" w:rsidRPr="00D07C7C" w:rsidRDefault="002D2C99" w:rsidP="00D07C7C">
      <w:pPr>
        <w:jc w:val="center"/>
        <w:rPr>
          <w:lang w:val="fr-FR"/>
        </w:rPr>
      </w:pPr>
    </w:p>
    <w:p w:rsidR="002D2C99" w:rsidRPr="00D07C7C" w:rsidRDefault="002D2C99" w:rsidP="00D07C7C">
      <w:pPr>
        <w:jc w:val="center"/>
        <w:rPr>
          <w:lang w:val="fr-FR"/>
        </w:rPr>
      </w:pPr>
    </w:p>
    <w:p w:rsidR="002D2C99" w:rsidRPr="00D07C7C" w:rsidRDefault="002D2C99" w:rsidP="00D07C7C">
      <w:pPr>
        <w:jc w:val="center"/>
        <w:rPr>
          <w:lang w:val="fr-FR"/>
        </w:rPr>
      </w:pPr>
    </w:p>
    <w:p w:rsidR="002D2C99" w:rsidRPr="00D07C7C" w:rsidRDefault="002D2C99" w:rsidP="00D07C7C">
      <w:pPr>
        <w:jc w:val="center"/>
        <w:outlineLvl w:val="0"/>
        <w:rPr>
          <w:b/>
          <w:lang w:val="fr-FR"/>
        </w:rPr>
      </w:pPr>
      <w:r w:rsidRPr="00D07C7C">
        <w:rPr>
          <w:b/>
          <w:lang w:val="fr-FR"/>
        </w:rPr>
        <w:t xml:space="preserve">AFFAIRE </w:t>
      </w:r>
      <w:r w:rsidR="00847E84" w:rsidRPr="00D07C7C">
        <w:rPr>
          <w:b/>
          <w:lang w:val="fr-FR"/>
        </w:rPr>
        <w:t>BARTESAGHI GALLO ET AUTRES c. ITALIE</w:t>
      </w:r>
    </w:p>
    <w:p w:rsidR="002D2C99" w:rsidRPr="00D07C7C" w:rsidRDefault="002D2C99" w:rsidP="00D07C7C">
      <w:pPr>
        <w:jc w:val="center"/>
        <w:rPr>
          <w:lang w:val="fr-FR"/>
        </w:rPr>
      </w:pPr>
    </w:p>
    <w:p w:rsidR="002D2C99" w:rsidRPr="00D07C7C" w:rsidRDefault="002D2C99" w:rsidP="00D07C7C">
      <w:pPr>
        <w:jc w:val="center"/>
        <w:rPr>
          <w:i/>
          <w:lang w:val="fr-FR"/>
        </w:rPr>
      </w:pPr>
      <w:r w:rsidRPr="00D07C7C">
        <w:rPr>
          <w:i/>
          <w:lang w:val="fr-FR"/>
        </w:rPr>
        <w:t>(Requête</w:t>
      </w:r>
      <w:r w:rsidR="00F82731" w:rsidRPr="00D07C7C">
        <w:rPr>
          <w:i/>
          <w:lang w:val="fr-FR"/>
        </w:rPr>
        <w:t>s</w:t>
      </w:r>
      <w:r w:rsidRPr="00D07C7C">
        <w:rPr>
          <w:i/>
          <w:lang w:val="fr-FR"/>
        </w:rPr>
        <w:t xml:space="preserve"> n</w:t>
      </w:r>
      <w:r w:rsidRPr="00D07C7C">
        <w:rPr>
          <w:i/>
          <w:vertAlign w:val="superscript"/>
          <w:lang w:val="fr-FR"/>
        </w:rPr>
        <w:t>o</w:t>
      </w:r>
      <w:r w:rsidR="00F82731" w:rsidRPr="00D07C7C">
        <w:rPr>
          <w:i/>
          <w:vertAlign w:val="superscript"/>
          <w:lang w:val="fr-FR"/>
        </w:rPr>
        <w:t>s</w:t>
      </w:r>
      <w:r w:rsidRPr="00D07C7C">
        <w:rPr>
          <w:i/>
          <w:lang w:val="fr-FR"/>
        </w:rPr>
        <w:t xml:space="preserve"> </w:t>
      </w:r>
      <w:r w:rsidR="00847E84" w:rsidRPr="00D07C7C">
        <w:rPr>
          <w:i/>
          <w:lang w:val="fr-FR"/>
        </w:rPr>
        <w:t>12131/13</w:t>
      </w:r>
      <w:r w:rsidR="00F82731" w:rsidRPr="00D07C7C">
        <w:rPr>
          <w:i/>
          <w:lang w:val="fr-FR"/>
        </w:rPr>
        <w:t xml:space="preserve"> et 43390/13</w:t>
      </w:r>
      <w:r w:rsidRPr="00D07C7C">
        <w:rPr>
          <w:i/>
          <w:lang w:val="fr-FR"/>
        </w:rPr>
        <w:t>)</w:t>
      </w:r>
    </w:p>
    <w:p w:rsidR="002D2C99" w:rsidRPr="00D07C7C" w:rsidRDefault="002D2C99" w:rsidP="00D07C7C">
      <w:pPr>
        <w:jc w:val="center"/>
        <w:rPr>
          <w:lang w:val="fr-FR"/>
        </w:rPr>
      </w:pPr>
    </w:p>
    <w:p w:rsidR="002D2C99" w:rsidRPr="00D07C7C" w:rsidRDefault="002D2C99" w:rsidP="00D07C7C">
      <w:pPr>
        <w:jc w:val="center"/>
        <w:rPr>
          <w:lang w:val="fr-FR"/>
        </w:rPr>
      </w:pPr>
    </w:p>
    <w:p w:rsidR="002D2C99" w:rsidRPr="00D07C7C" w:rsidRDefault="002D2C99" w:rsidP="00D07C7C">
      <w:pPr>
        <w:jc w:val="center"/>
        <w:rPr>
          <w:lang w:val="fr-FR"/>
        </w:rPr>
      </w:pPr>
    </w:p>
    <w:p w:rsidR="002D2C99" w:rsidRPr="00D07C7C" w:rsidRDefault="002D2C99" w:rsidP="00D07C7C">
      <w:pPr>
        <w:jc w:val="center"/>
        <w:rPr>
          <w:lang w:val="fr-FR"/>
        </w:rPr>
      </w:pPr>
    </w:p>
    <w:p w:rsidR="002D2C99" w:rsidRPr="00D07C7C" w:rsidRDefault="002D2C99" w:rsidP="00D07C7C">
      <w:pPr>
        <w:jc w:val="center"/>
        <w:rPr>
          <w:lang w:val="fr-FR"/>
        </w:rPr>
      </w:pPr>
    </w:p>
    <w:p w:rsidR="002D2C99" w:rsidRPr="00D07C7C" w:rsidRDefault="002D2C99" w:rsidP="00D07C7C">
      <w:pPr>
        <w:jc w:val="center"/>
        <w:rPr>
          <w:lang w:val="fr-FR"/>
        </w:rPr>
      </w:pPr>
    </w:p>
    <w:p w:rsidR="002D2C99" w:rsidRPr="00D07C7C" w:rsidRDefault="002D2C99" w:rsidP="00D07C7C">
      <w:pPr>
        <w:jc w:val="center"/>
        <w:rPr>
          <w:lang w:val="fr-FR"/>
        </w:rPr>
      </w:pPr>
    </w:p>
    <w:p w:rsidR="00BE7CE0" w:rsidRPr="00D07C7C" w:rsidRDefault="00BE7CE0" w:rsidP="00D07C7C">
      <w:pPr>
        <w:jc w:val="center"/>
        <w:rPr>
          <w:lang w:val="fr-FR"/>
        </w:rPr>
      </w:pPr>
    </w:p>
    <w:p w:rsidR="00BE7CE0" w:rsidRPr="00D07C7C" w:rsidRDefault="00BE7CE0" w:rsidP="00D07C7C">
      <w:pPr>
        <w:jc w:val="center"/>
        <w:rPr>
          <w:lang w:val="fr-FR"/>
        </w:rPr>
      </w:pPr>
    </w:p>
    <w:p w:rsidR="002D2C99" w:rsidRPr="00D07C7C" w:rsidRDefault="002D2C99" w:rsidP="00D07C7C">
      <w:pPr>
        <w:jc w:val="center"/>
        <w:rPr>
          <w:lang w:val="fr-FR"/>
        </w:rPr>
      </w:pPr>
    </w:p>
    <w:p w:rsidR="002D2C99" w:rsidRPr="00D07C7C" w:rsidRDefault="002D2C99" w:rsidP="00D07C7C">
      <w:pPr>
        <w:jc w:val="center"/>
        <w:rPr>
          <w:lang w:val="fr-FR"/>
        </w:rPr>
      </w:pPr>
    </w:p>
    <w:p w:rsidR="002D2C99" w:rsidRPr="00D07C7C" w:rsidRDefault="002D2C99" w:rsidP="00D07C7C">
      <w:pPr>
        <w:jc w:val="center"/>
        <w:rPr>
          <w:lang w:val="fr-FR"/>
        </w:rPr>
      </w:pPr>
    </w:p>
    <w:p w:rsidR="002D2C99" w:rsidRPr="00D07C7C" w:rsidRDefault="002D2C99" w:rsidP="00D07C7C">
      <w:pPr>
        <w:jc w:val="center"/>
        <w:outlineLvl w:val="0"/>
        <w:rPr>
          <w:lang w:val="fr-FR"/>
        </w:rPr>
      </w:pPr>
      <w:r w:rsidRPr="00D07C7C">
        <w:rPr>
          <w:lang w:val="fr-FR"/>
        </w:rPr>
        <w:t>ARRÊT</w:t>
      </w:r>
    </w:p>
    <w:p w:rsidR="002D2C99" w:rsidRPr="00D07C7C" w:rsidRDefault="002D2C99" w:rsidP="00D07C7C">
      <w:pPr>
        <w:jc w:val="center"/>
        <w:rPr>
          <w:lang w:val="fr-FR"/>
        </w:rPr>
      </w:pPr>
    </w:p>
    <w:p w:rsidR="002D2C99" w:rsidRPr="00D07C7C" w:rsidRDefault="002D2C99" w:rsidP="00D07C7C">
      <w:pPr>
        <w:jc w:val="center"/>
        <w:rPr>
          <w:i/>
          <w:lang w:val="fr-FR"/>
        </w:rPr>
      </w:pPr>
    </w:p>
    <w:p w:rsidR="002D2C99" w:rsidRPr="00D07C7C" w:rsidRDefault="002D2C99" w:rsidP="00D07C7C">
      <w:pPr>
        <w:jc w:val="center"/>
        <w:rPr>
          <w:lang w:val="fr-FR"/>
        </w:rPr>
      </w:pPr>
    </w:p>
    <w:p w:rsidR="002D2C99" w:rsidRPr="00D07C7C" w:rsidRDefault="002D2C99" w:rsidP="00D07C7C">
      <w:pPr>
        <w:jc w:val="center"/>
        <w:outlineLvl w:val="0"/>
        <w:rPr>
          <w:lang w:val="fr-FR"/>
        </w:rPr>
      </w:pPr>
      <w:r w:rsidRPr="00D07C7C">
        <w:rPr>
          <w:lang w:val="fr-FR"/>
        </w:rPr>
        <w:t>STRASBOURG</w:t>
      </w:r>
    </w:p>
    <w:p w:rsidR="002D2C99" w:rsidRPr="00D07C7C" w:rsidRDefault="002D2C99" w:rsidP="00D07C7C">
      <w:pPr>
        <w:jc w:val="center"/>
        <w:rPr>
          <w:lang w:val="fr-FR"/>
        </w:rPr>
      </w:pPr>
    </w:p>
    <w:p w:rsidR="002D2C99" w:rsidRPr="00D07C7C" w:rsidRDefault="00C03F71" w:rsidP="00D07C7C">
      <w:pPr>
        <w:jc w:val="center"/>
        <w:rPr>
          <w:lang w:val="fr-FR"/>
        </w:rPr>
      </w:pPr>
      <w:r w:rsidRPr="00D07C7C">
        <w:rPr>
          <w:lang w:val="fr-FR"/>
        </w:rPr>
        <w:t>22 juin</w:t>
      </w:r>
      <w:r w:rsidR="00847E84" w:rsidRPr="00D07C7C">
        <w:rPr>
          <w:lang w:val="fr-FR"/>
        </w:rPr>
        <w:t xml:space="preserve"> 2017</w:t>
      </w:r>
    </w:p>
    <w:p w:rsidR="002D2C99" w:rsidRPr="00D07C7C" w:rsidRDefault="002D2C99" w:rsidP="00D07C7C">
      <w:pPr>
        <w:jc w:val="center"/>
        <w:rPr>
          <w:lang w:val="fr-FR"/>
        </w:rPr>
      </w:pPr>
    </w:p>
    <w:p w:rsidR="002D2C99" w:rsidRPr="00D07C7C" w:rsidRDefault="002D2C99" w:rsidP="00D07C7C">
      <w:pPr>
        <w:jc w:val="center"/>
        <w:rPr>
          <w:lang w:val="fr-FR"/>
        </w:rPr>
      </w:pPr>
    </w:p>
    <w:p w:rsidR="008E0AFB" w:rsidRPr="00D07C7C" w:rsidRDefault="008E0AFB" w:rsidP="00D07C7C">
      <w:pPr>
        <w:jc w:val="left"/>
        <w:rPr>
          <w:i/>
          <w:sz w:val="22"/>
          <w:lang w:val="fr-FR"/>
        </w:rPr>
      </w:pPr>
    </w:p>
    <w:p w:rsidR="008E0AFB" w:rsidRPr="00D07C7C" w:rsidRDefault="008E0AFB" w:rsidP="00D07C7C">
      <w:pPr>
        <w:jc w:val="left"/>
        <w:rPr>
          <w:i/>
          <w:sz w:val="22"/>
          <w:lang w:val="fr-FR"/>
        </w:rPr>
      </w:pPr>
    </w:p>
    <w:p w:rsidR="008E0AFB" w:rsidRPr="00D07C7C" w:rsidRDefault="008E0AFB" w:rsidP="00D07C7C">
      <w:pPr>
        <w:jc w:val="left"/>
        <w:rPr>
          <w:i/>
          <w:sz w:val="22"/>
          <w:lang w:val="fr-FR"/>
        </w:rPr>
      </w:pPr>
    </w:p>
    <w:p w:rsidR="00A323B3" w:rsidRPr="00D07C7C" w:rsidRDefault="002D2C99" w:rsidP="00D07C7C">
      <w:pPr>
        <w:jc w:val="left"/>
        <w:rPr>
          <w:i/>
          <w:lang w:val="fr-FR"/>
        </w:rPr>
      </w:pPr>
      <w:r w:rsidRPr="00D07C7C">
        <w:rPr>
          <w:i/>
          <w:sz w:val="22"/>
          <w:lang w:val="fr-FR"/>
        </w:rPr>
        <w:t>Cet arrêt</w:t>
      </w:r>
      <w:r w:rsidR="00793DAE" w:rsidRPr="00D07C7C">
        <w:rPr>
          <w:i/>
          <w:sz w:val="22"/>
          <w:lang w:val="fr-FR"/>
        </w:rPr>
        <w:t xml:space="preserve"> </w:t>
      </w:r>
      <w:r w:rsidR="00847E84" w:rsidRPr="00D07C7C">
        <w:rPr>
          <w:i/>
          <w:sz w:val="22"/>
          <w:lang w:val="fr-FR"/>
        </w:rPr>
        <w:t>deviendra définitif dans les conditions définies à l</w:t>
      </w:r>
      <w:r w:rsidR="00D07C7C" w:rsidRPr="00D07C7C">
        <w:rPr>
          <w:i/>
          <w:sz w:val="22"/>
          <w:lang w:val="fr-FR"/>
        </w:rPr>
        <w:t>’</w:t>
      </w:r>
      <w:r w:rsidR="00847E84" w:rsidRPr="00D07C7C">
        <w:rPr>
          <w:i/>
          <w:sz w:val="22"/>
          <w:lang w:val="fr-FR"/>
        </w:rPr>
        <w:t>article 44 § 2 de la Convention</w:t>
      </w:r>
      <w:r w:rsidRPr="00D07C7C">
        <w:rPr>
          <w:i/>
          <w:sz w:val="22"/>
          <w:lang w:val="fr-FR"/>
        </w:rPr>
        <w:t>. Il peut subir des retouches de forme.</w:t>
      </w:r>
    </w:p>
    <w:p w:rsidR="002D2C99" w:rsidRPr="00D07C7C" w:rsidRDefault="002D2C99" w:rsidP="00D07C7C">
      <w:pPr>
        <w:rPr>
          <w:lang w:val="fr-FR"/>
        </w:rPr>
        <w:sectPr w:rsidR="002D2C99" w:rsidRPr="00D07C7C" w:rsidSect="00A323B3">
          <w:headerReference w:type="default" r:id="rId11"/>
          <w:footerReference w:type="default" r:id="rId12"/>
          <w:headerReference w:type="first" r:id="rId13"/>
          <w:footnotePr>
            <w:numRestart w:val="eachSect"/>
          </w:footnotePr>
          <w:pgSz w:w="11906" w:h="16838" w:code="9"/>
          <w:pgMar w:top="2274" w:right="2274" w:bottom="2274" w:left="2274" w:header="1701" w:footer="720" w:gutter="0"/>
          <w:pgNumType w:start="1"/>
          <w:cols w:space="720"/>
          <w:noEndnote/>
          <w:titlePg/>
        </w:sectPr>
      </w:pPr>
    </w:p>
    <w:p w:rsidR="002D2C99" w:rsidRPr="00D07C7C" w:rsidRDefault="002D2C99" w:rsidP="00D07C7C">
      <w:pPr>
        <w:pStyle w:val="JuCase"/>
        <w:rPr>
          <w:lang w:val="fr-FR"/>
        </w:rPr>
      </w:pPr>
      <w:r w:rsidRPr="00D07C7C">
        <w:rPr>
          <w:lang w:val="fr-FR"/>
        </w:rPr>
        <w:lastRenderedPageBreak/>
        <w:t>En l</w:t>
      </w:r>
      <w:r w:rsidR="00D07C7C" w:rsidRPr="00D07C7C">
        <w:rPr>
          <w:lang w:val="fr-FR"/>
        </w:rPr>
        <w:t>’</w:t>
      </w:r>
      <w:r w:rsidRPr="00D07C7C">
        <w:rPr>
          <w:lang w:val="fr-FR"/>
        </w:rPr>
        <w:t xml:space="preserve">affaire </w:t>
      </w:r>
      <w:r w:rsidR="00847E84" w:rsidRPr="00D07C7C">
        <w:rPr>
          <w:lang w:val="fr-FR"/>
        </w:rPr>
        <w:t>Bartesaghi Gallo et autres c. Italie</w:t>
      </w:r>
      <w:r w:rsidRPr="00D07C7C">
        <w:rPr>
          <w:lang w:val="fr-FR"/>
        </w:rPr>
        <w:t>,</w:t>
      </w:r>
    </w:p>
    <w:p w:rsidR="004D0A74" w:rsidRPr="00D07C7C" w:rsidRDefault="004D0A74" w:rsidP="00D07C7C">
      <w:pPr>
        <w:pStyle w:val="ECHRPara"/>
        <w:rPr>
          <w:lang w:val="fr-FR"/>
        </w:rPr>
      </w:pPr>
      <w:r w:rsidRPr="00D07C7C">
        <w:rPr>
          <w:lang w:val="fr-FR"/>
        </w:rPr>
        <w:t>La Cour européenne des droits de l</w:t>
      </w:r>
      <w:r w:rsidR="00D07C7C" w:rsidRPr="00D07C7C">
        <w:rPr>
          <w:lang w:val="fr-FR"/>
        </w:rPr>
        <w:t>’</w:t>
      </w:r>
      <w:r w:rsidRPr="00D07C7C">
        <w:rPr>
          <w:lang w:val="fr-FR"/>
        </w:rPr>
        <w:t>homme (première section), siégeant en une chambre composée de :</w:t>
      </w:r>
    </w:p>
    <w:p w:rsidR="004D0A74" w:rsidRPr="00D07C7C" w:rsidRDefault="004D0A74" w:rsidP="00D07C7C">
      <w:pPr>
        <w:pStyle w:val="ECHRDecisionBody"/>
        <w:rPr>
          <w:lang w:val="fr-FR"/>
        </w:rPr>
      </w:pPr>
      <w:r w:rsidRPr="00D07C7C">
        <w:rPr>
          <w:lang w:val="fr-FR"/>
        </w:rPr>
        <w:tab/>
        <w:t>Linos-Alexandre Sicilianos,</w:t>
      </w:r>
      <w:r w:rsidRPr="00D07C7C">
        <w:rPr>
          <w:i/>
          <w:lang w:val="fr-FR"/>
        </w:rPr>
        <w:t xml:space="preserve"> président,</w:t>
      </w:r>
      <w:r w:rsidRPr="00D07C7C">
        <w:rPr>
          <w:i/>
          <w:lang w:val="fr-FR"/>
        </w:rPr>
        <w:br/>
      </w:r>
      <w:r w:rsidRPr="00D07C7C">
        <w:rPr>
          <w:lang w:val="fr-FR"/>
        </w:rPr>
        <w:tab/>
        <w:t>Kristina Pardalos,</w:t>
      </w:r>
      <w:r w:rsidRPr="00D07C7C">
        <w:rPr>
          <w:i/>
          <w:lang w:val="fr-FR"/>
        </w:rPr>
        <w:br/>
      </w:r>
      <w:r w:rsidRPr="00D07C7C">
        <w:rPr>
          <w:lang w:val="fr-FR"/>
        </w:rPr>
        <w:tab/>
        <w:t>Guido Raimondi,</w:t>
      </w:r>
      <w:r w:rsidRPr="00D07C7C">
        <w:rPr>
          <w:i/>
          <w:lang w:val="fr-FR"/>
        </w:rPr>
        <w:br/>
      </w:r>
      <w:r w:rsidRPr="00D07C7C">
        <w:rPr>
          <w:lang w:val="fr-FR"/>
        </w:rPr>
        <w:tab/>
        <w:t>Ledi Bianku,</w:t>
      </w:r>
      <w:r w:rsidRPr="00D07C7C">
        <w:rPr>
          <w:i/>
          <w:lang w:val="fr-FR"/>
        </w:rPr>
        <w:br/>
      </w:r>
      <w:r w:rsidRPr="00D07C7C">
        <w:rPr>
          <w:lang w:val="fr-FR"/>
        </w:rPr>
        <w:tab/>
        <w:t>Aleš Pejchal,</w:t>
      </w:r>
      <w:r w:rsidRPr="00D07C7C">
        <w:rPr>
          <w:i/>
          <w:lang w:val="fr-FR"/>
        </w:rPr>
        <w:br/>
      </w:r>
      <w:r w:rsidRPr="00D07C7C">
        <w:rPr>
          <w:lang w:val="fr-FR"/>
        </w:rPr>
        <w:tab/>
        <w:t>Armen Harutyunyan,</w:t>
      </w:r>
      <w:r w:rsidRPr="00D07C7C">
        <w:rPr>
          <w:i/>
          <w:lang w:val="fr-FR"/>
        </w:rPr>
        <w:br/>
      </w:r>
      <w:r w:rsidRPr="00D07C7C">
        <w:rPr>
          <w:lang w:val="fr-FR"/>
        </w:rPr>
        <w:tab/>
        <w:t>Pauliine Koskelo,</w:t>
      </w:r>
      <w:r w:rsidRPr="00D07C7C">
        <w:rPr>
          <w:i/>
          <w:lang w:val="fr-FR"/>
        </w:rPr>
        <w:t xml:space="preserve"> juges,</w:t>
      </w:r>
      <w:r w:rsidRPr="00D07C7C">
        <w:rPr>
          <w:lang w:val="fr-FR"/>
        </w:rPr>
        <w:br/>
        <w:t xml:space="preserve">et de </w:t>
      </w:r>
      <w:r w:rsidR="002F06D8" w:rsidRPr="00D07C7C">
        <w:rPr>
          <w:lang w:val="fr-FR"/>
        </w:rPr>
        <w:t>Abel</w:t>
      </w:r>
      <w:r w:rsidRPr="00D07C7C">
        <w:rPr>
          <w:lang w:val="fr-FR"/>
        </w:rPr>
        <w:t xml:space="preserve"> </w:t>
      </w:r>
      <w:r w:rsidR="002F06D8" w:rsidRPr="00D07C7C">
        <w:rPr>
          <w:lang w:val="fr-FR"/>
        </w:rPr>
        <w:t>Campos</w:t>
      </w:r>
      <w:r w:rsidRPr="00D07C7C">
        <w:rPr>
          <w:lang w:val="fr-FR"/>
        </w:rPr>
        <w:t xml:space="preserve">, </w:t>
      </w:r>
      <w:r w:rsidRPr="00D07C7C">
        <w:rPr>
          <w:i/>
          <w:lang w:val="fr-FR"/>
        </w:rPr>
        <w:t>greffi</w:t>
      </w:r>
      <w:r w:rsidR="002F06D8" w:rsidRPr="00D07C7C">
        <w:rPr>
          <w:i/>
          <w:lang w:val="fr-FR"/>
        </w:rPr>
        <w:t>er</w:t>
      </w:r>
      <w:r w:rsidRPr="00D07C7C">
        <w:rPr>
          <w:i/>
          <w:lang w:val="fr-FR"/>
        </w:rPr>
        <w:t xml:space="preserve"> </w:t>
      </w:r>
      <w:r w:rsidRPr="00D07C7C">
        <w:rPr>
          <w:i/>
          <w:iCs/>
          <w:lang w:val="fr-FR"/>
        </w:rPr>
        <w:t>d</w:t>
      </w:r>
      <w:r w:rsidRPr="00D07C7C">
        <w:rPr>
          <w:i/>
          <w:lang w:val="fr-FR"/>
        </w:rPr>
        <w:t>e section</w:t>
      </w:r>
      <w:r w:rsidRPr="00D07C7C">
        <w:rPr>
          <w:lang w:val="fr-FR"/>
        </w:rPr>
        <w:t>,</w:t>
      </w:r>
    </w:p>
    <w:p w:rsidR="004D0A74" w:rsidRPr="00D07C7C" w:rsidRDefault="004D0A74" w:rsidP="00D07C7C">
      <w:pPr>
        <w:pStyle w:val="ECHRPara"/>
        <w:rPr>
          <w:lang w:val="fr-FR"/>
        </w:rPr>
      </w:pPr>
      <w:r w:rsidRPr="00D07C7C">
        <w:rPr>
          <w:lang w:val="fr-FR"/>
        </w:rPr>
        <w:t xml:space="preserve">Après en avoir délibéré en chambre du conseil le </w:t>
      </w:r>
      <w:r w:rsidR="00A527F4" w:rsidRPr="00D07C7C">
        <w:rPr>
          <w:lang w:val="fr-FR"/>
        </w:rPr>
        <w:t>25 avril et le 30 mai 2017</w:t>
      </w:r>
      <w:r w:rsidRPr="00D07C7C">
        <w:rPr>
          <w:lang w:val="fr-FR"/>
        </w:rPr>
        <w:t>,</w:t>
      </w:r>
    </w:p>
    <w:p w:rsidR="004D0A74" w:rsidRPr="00D07C7C" w:rsidRDefault="004D0A74" w:rsidP="00D07C7C">
      <w:pPr>
        <w:pStyle w:val="ECHRPara"/>
        <w:rPr>
          <w:lang w:val="fr-FR"/>
        </w:rPr>
      </w:pPr>
      <w:r w:rsidRPr="00D07C7C">
        <w:rPr>
          <w:lang w:val="fr-FR"/>
        </w:rPr>
        <w:t>Rend l</w:t>
      </w:r>
      <w:r w:rsidR="00D07C7C" w:rsidRPr="00D07C7C">
        <w:rPr>
          <w:lang w:val="fr-FR"/>
        </w:rPr>
        <w:t>’</w:t>
      </w:r>
      <w:r w:rsidRPr="00D07C7C">
        <w:rPr>
          <w:lang w:val="fr-FR"/>
        </w:rPr>
        <w:t xml:space="preserve">arrêt que voici, adopté à cette </w:t>
      </w:r>
      <w:r w:rsidR="006B4814" w:rsidRPr="00D07C7C">
        <w:rPr>
          <w:lang w:val="fr-FR"/>
        </w:rPr>
        <w:t xml:space="preserve">dernière </w:t>
      </w:r>
      <w:r w:rsidRPr="00D07C7C">
        <w:rPr>
          <w:lang w:val="fr-FR"/>
        </w:rPr>
        <w:t>date :</w:t>
      </w:r>
    </w:p>
    <w:p w:rsidR="00FE73C2" w:rsidRPr="00D07C7C" w:rsidRDefault="00FE73C2" w:rsidP="00D07C7C">
      <w:pPr>
        <w:pStyle w:val="ECHRTitle1"/>
        <w:rPr>
          <w:lang w:val="fr-FR"/>
        </w:rPr>
      </w:pPr>
      <w:r w:rsidRPr="00D07C7C">
        <w:rPr>
          <w:lang w:val="fr-FR"/>
        </w:rPr>
        <w:t>PROCÉDURE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w:t>
      </w:r>
      <w:r w:rsidRPr="00D07C7C">
        <w:rPr>
          <w:lang w:val="fr-FR"/>
        </w:rPr>
        <w:fldChar w:fldCharType="end"/>
      </w:r>
      <w:r w:rsidRPr="00D07C7C">
        <w:rPr>
          <w:lang w:val="fr-FR"/>
        </w:rPr>
        <w:t>.  À l</w:t>
      </w:r>
      <w:r w:rsidR="00D07C7C" w:rsidRPr="00D07C7C">
        <w:rPr>
          <w:lang w:val="fr-FR"/>
        </w:rPr>
        <w:t>’</w:t>
      </w:r>
      <w:r w:rsidRPr="00D07C7C">
        <w:rPr>
          <w:lang w:val="fr-FR"/>
        </w:rPr>
        <w:t>origine de l</w:t>
      </w:r>
      <w:r w:rsidR="00D07C7C" w:rsidRPr="00D07C7C">
        <w:rPr>
          <w:lang w:val="fr-FR"/>
        </w:rPr>
        <w:t>’</w:t>
      </w:r>
      <w:r w:rsidRPr="00D07C7C">
        <w:rPr>
          <w:lang w:val="fr-FR"/>
        </w:rPr>
        <w:t>affaire se trouvent deux requêtes (n</w:t>
      </w:r>
      <w:r w:rsidRPr="00D07C7C">
        <w:rPr>
          <w:vertAlign w:val="superscript"/>
          <w:lang w:val="fr-FR"/>
        </w:rPr>
        <w:t>o</w:t>
      </w:r>
      <w:r w:rsidRPr="00D07C7C">
        <w:rPr>
          <w:lang w:val="fr-FR"/>
        </w:rPr>
        <w:t> 12131/13</w:t>
      </w:r>
      <w:r w:rsidR="00BE7CE0" w:rsidRPr="00D07C7C">
        <w:rPr>
          <w:lang w:val="fr-FR"/>
        </w:rPr>
        <w:t xml:space="preserve"> et </w:t>
      </w:r>
      <w:r w:rsidRPr="00D07C7C">
        <w:rPr>
          <w:lang w:val="fr-FR"/>
        </w:rPr>
        <w:t>n</w:t>
      </w:r>
      <w:r w:rsidRPr="00D07C7C">
        <w:rPr>
          <w:vertAlign w:val="superscript"/>
          <w:lang w:val="fr-FR"/>
        </w:rPr>
        <w:t>o</w:t>
      </w:r>
      <w:r w:rsidRPr="00D07C7C">
        <w:rPr>
          <w:lang w:val="fr-FR"/>
        </w:rPr>
        <w:t xml:space="preserve"> 43390/13) dirigées contre la République italienne et dont </w:t>
      </w:r>
      <w:r w:rsidR="002C2DB6" w:rsidRPr="00D07C7C">
        <w:rPr>
          <w:lang w:val="fr-FR"/>
        </w:rPr>
        <w:t>quarante-</w:t>
      </w:r>
      <w:r w:rsidR="00936142" w:rsidRPr="00D07C7C">
        <w:rPr>
          <w:lang w:val="fr-FR"/>
        </w:rPr>
        <w:t>deux</w:t>
      </w:r>
      <w:r w:rsidRPr="00D07C7C">
        <w:rPr>
          <w:lang w:val="fr-FR"/>
        </w:rPr>
        <w:t xml:space="preserve"> ressortissants de différentes nationalités (« les requérants »), dont les noms figurent à l</w:t>
      </w:r>
      <w:r w:rsidR="00D07C7C" w:rsidRPr="00D07C7C">
        <w:rPr>
          <w:lang w:val="fr-FR"/>
        </w:rPr>
        <w:t>’</w:t>
      </w:r>
      <w:r w:rsidRPr="00D07C7C">
        <w:rPr>
          <w:lang w:val="fr-FR"/>
        </w:rPr>
        <w:t xml:space="preserve">annexe I, ont saisi la Cour respectivement le </w:t>
      </w:r>
      <w:r w:rsidR="00BE7CE0" w:rsidRPr="00D07C7C">
        <w:rPr>
          <w:lang w:val="fr-FR"/>
        </w:rPr>
        <w:t>3 janvier 2013 et le 30 </w:t>
      </w:r>
      <w:r w:rsidRPr="00D07C7C">
        <w:rPr>
          <w:lang w:val="fr-FR"/>
        </w:rPr>
        <w:t>mars 2013 en vertu de l</w:t>
      </w:r>
      <w:r w:rsidR="00D07C7C" w:rsidRPr="00D07C7C">
        <w:rPr>
          <w:lang w:val="fr-FR"/>
        </w:rPr>
        <w:t>’</w:t>
      </w:r>
      <w:r w:rsidRPr="00D07C7C">
        <w:rPr>
          <w:lang w:val="fr-FR"/>
        </w:rPr>
        <w:t>article 34 de la Convention de sauvegarde des droits de l</w:t>
      </w:r>
      <w:r w:rsidR="00D07C7C" w:rsidRPr="00D07C7C">
        <w:rPr>
          <w:lang w:val="fr-FR"/>
        </w:rPr>
        <w:t>’</w:t>
      </w:r>
      <w:r w:rsidRPr="00D07C7C">
        <w:rPr>
          <w:lang w:val="fr-FR"/>
        </w:rPr>
        <w:t>homme et des libertés fondamentales (« la Convention »).</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2</w:t>
      </w:r>
      <w:r w:rsidRPr="00D07C7C">
        <w:rPr>
          <w:lang w:val="fr-FR"/>
        </w:rPr>
        <w:fldChar w:fldCharType="end"/>
      </w:r>
      <w:r w:rsidRPr="00D07C7C">
        <w:rPr>
          <w:lang w:val="fr-FR"/>
        </w:rPr>
        <w:t>.  Les requérants ont été représentés, dans la requête n</w:t>
      </w:r>
      <w:r w:rsidRPr="00D07C7C">
        <w:rPr>
          <w:vertAlign w:val="superscript"/>
          <w:lang w:val="fr-FR"/>
        </w:rPr>
        <w:t>o</w:t>
      </w:r>
      <w:r w:rsidRPr="00D07C7C">
        <w:rPr>
          <w:lang w:val="fr-FR"/>
        </w:rPr>
        <w:t xml:space="preserve"> 12131/13, par M</w:t>
      </w:r>
      <w:r w:rsidRPr="00D07C7C">
        <w:rPr>
          <w:vertAlign w:val="superscript"/>
          <w:lang w:val="fr-FR"/>
        </w:rPr>
        <w:t>e</w:t>
      </w:r>
      <w:r w:rsidRPr="00D07C7C">
        <w:rPr>
          <w:lang w:val="fr-FR"/>
        </w:rPr>
        <w:t> N.</w:t>
      </w:r>
      <w:r w:rsidR="00BE7CE0" w:rsidRPr="00D07C7C">
        <w:rPr>
          <w:lang w:val="fr-FR"/>
        </w:rPr>
        <w:t> </w:t>
      </w:r>
      <w:r w:rsidRPr="00D07C7C">
        <w:rPr>
          <w:lang w:val="fr-FR"/>
        </w:rPr>
        <w:t>Paoletti, avocat à Rome, et, dans la requête n</w:t>
      </w:r>
      <w:r w:rsidRPr="00D07C7C">
        <w:rPr>
          <w:vertAlign w:val="superscript"/>
          <w:lang w:val="fr-FR"/>
        </w:rPr>
        <w:t>o</w:t>
      </w:r>
      <w:r w:rsidRPr="00D07C7C">
        <w:rPr>
          <w:lang w:val="fr-FR"/>
        </w:rPr>
        <w:t xml:space="preserve"> 43390/13, par M</w:t>
      </w:r>
      <w:r w:rsidRPr="00D07C7C">
        <w:rPr>
          <w:vertAlign w:val="superscript"/>
          <w:lang w:val="fr-FR"/>
        </w:rPr>
        <w:t>es </w:t>
      </w:r>
      <w:r w:rsidRPr="00D07C7C">
        <w:rPr>
          <w:lang w:val="fr-FR"/>
        </w:rPr>
        <w:t>V. Onida et B. Randazzo, avocats à Milan. Le gouvernement italien (« le Gouvernement ») a été représenté par son agente, M</w:t>
      </w:r>
      <w:r w:rsidRPr="00D07C7C">
        <w:rPr>
          <w:vertAlign w:val="superscript"/>
          <w:lang w:val="fr-FR"/>
        </w:rPr>
        <w:t>me</w:t>
      </w:r>
      <w:r w:rsidRPr="00D07C7C">
        <w:rPr>
          <w:lang w:val="fr-FR"/>
        </w:rPr>
        <w:t xml:space="preserve"> E. Spatafora. Informés de leur droit d</w:t>
      </w:r>
      <w:r w:rsidR="00D07C7C" w:rsidRPr="00D07C7C">
        <w:rPr>
          <w:lang w:val="fr-FR"/>
        </w:rPr>
        <w:t>’</w:t>
      </w:r>
      <w:r w:rsidRPr="00D07C7C">
        <w:rPr>
          <w:lang w:val="fr-FR"/>
        </w:rPr>
        <w:t>intervenir dans la procédure, les gouvernements allemand, britannique, espagnol, polonais, suédois, suisse et turc n</w:t>
      </w:r>
      <w:r w:rsidR="00D07C7C" w:rsidRPr="00D07C7C">
        <w:rPr>
          <w:lang w:val="fr-FR"/>
        </w:rPr>
        <w:t>’</w:t>
      </w:r>
      <w:r w:rsidRPr="00D07C7C">
        <w:rPr>
          <w:lang w:val="fr-FR"/>
        </w:rPr>
        <w:t>ont pas usé de leur droit d</w:t>
      </w:r>
      <w:r w:rsidR="00D07C7C" w:rsidRPr="00D07C7C">
        <w:rPr>
          <w:lang w:val="fr-FR"/>
        </w:rPr>
        <w:t>’</w:t>
      </w:r>
      <w:r w:rsidRPr="00D07C7C">
        <w:rPr>
          <w:lang w:val="fr-FR"/>
        </w:rPr>
        <w:t>intervenir dans la procédure (article 36 § 1 de la Convention).</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3</w:t>
      </w:r>
      <w:r w:rsidRPr="00D07C7C">
        <w:rPr>
          <w:lang w:val="fr-FR"/>
        </w:rPr>
        <w:fldChar w:fldCharType="end"/>
      </w:r>
      <w:r w:rsidRPr="00D07C7C">
        <w:rPr>
          <w:lang w:val="fr-FR"/>
        </w:rPr>
        <w:t>.  Le 10 novembre 2015, les griefs concernant les articles 3 et 13 de la Convention ont été communiqués au Gouvernement et la requête n</w:t>
      </w:r>
      <w:r w:rsidRPr="00D07C7C">
        <w:rPr>
          <w:vertAlign w:val="superscript"/>
          <w:lang w:val="fr-FR"/>
        </w:rPr>
        <w:t>o</w:t>
      </w:r>
      <w:r w:rsidRPr="00D07C7C">
        <w:rPr>
          <w:lang w:val="fr-FR"/>
        </w:rPr>
        <w:t> 43390/13 a été déclarée irrecevable pour le surplus conformément à l</w:t>
      </w:r>
      <w:r w:rsidR="00D07C7C" w:rsidRPr="00D07C7C">
        <w:rPr>
          <w:lang w:val="fr-FR"/>
        </w:rPr>
        <w:t>’</w:t>
      </w:r>
      <w:r w:rsidRPr="00D07C7C">
        <w:rPr>
          <w:lang w:val="fr-FR"/>
        </w:rPr>
        <w:t>article 54 § 3 du Règlement de la Cour.</w:t>
      </w:r>
    </w:p>
    <w:p w:rsidR="00FE73C2" w:rsidRPr="00D07C7C" w:rsidRDefault="00FE73C2" w:rsidP="00D07C7C">
      <w:pPr>
        <w:pStyle w:val="ECHRTitle1"/>
        <w:tabs>
          <w:tab w:val="left" w:pos="5387"/>
        </w:tabs>
        <w:rPr>
          <w:lang w:val="fr-FR"/>
        </w:rPr>
      </w:pPr>
      <w:r w:rsidRPr="00D07C7C">
        <w:rPr>
          <w:lang w:val="fr-FR"/>
        </w:rPr>
        <w:t>EN FAIT</w:t>
      </w:r>
    </w:p>
    <w:p w:rsidR="00FE73C2" w:rsidRPr="00D07C7C" w:rsidRDefault="00FE73C2" w:rsidP="00D07C7C">
      <w:pPr>
        <w:pStyle w:val="ECHRHeading1"/>
        <w:rPr>
          <w:lang w:val="fr-FR"/>
        </w:rPr>
      </w:pPr>
      <w:r w:rsidRPr="00D07C7C">
        <w:rPr>
          <w:lang w:val="fr-FR"/>
        </w:rPr>
        <w:t>I.  LES CIRCONSTANCES DE L</w:t>
      </w:r>
      <w:r w:rsidR="00D07C7C" w:rsidRPr="00D07C7C">
        <w:rPr>
          <w:lang w:val="fr-FR"/>
        </w:rPr>
        <w:t>’</w:t>
      </w:r>
      <w:r w:rsidRPr="00D07C7C">
        <w:rPr>
          <w:lang w:val="fr-FR"/>
        </w:rPr>
        <w:t>ESPÈCE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4</w:t>
      </w:r>
      <w:r w:rsidRPr="00D07C7C">
        <w:rPr>
          <w:lang w:val="fr-FR"/>
        </w:rPr>
        <w:fldChar w:fldCharType="end"/>
      </w:r>
      <w:r w:rsidRPr="00D07C7C">
        <w:rPr>
          <w:lang w:val="fr-FR"/>
        </w:rPr>
        <w:t>.  Les faits de la cause, tels qu</w:t>
      </w:r>
      <w:r w:rsidR="00D07C7C" w:rsidRPr="00D07C7C">
        <w:rPr>
          <w:lang w:val="fr-FR"/>
        </w:rPr>
        <w:t>’</w:t>
      </w:r>
      <w:r w:rsidRPr="00D07C7C">
        <w:rPr>
          <w:lang w:val="fr-FR"/>
        </w:rPr>
        <w:t>ils ont été exposés par les requérants et qu</w:t>
      </w:r>
      <w:r w:rsidR="00D07C7C" w:rsidRPr="00D07C7C">
        <w:rPr>
          <w:lang w:val="fr-FR"/>
        </w:rPr>
        <w:t>’</w:t>
      </w:r>
      <w:r w:rsidRPr="00D07C7C">
        <w:rPr>
          <w:lang w:val="fr-FR"/>
        </w:rPr>
        <w:t xml:space="preserve">ils ressortent des documents pertinents dans les différentes affaires </w:t>
      </w:r>
      <w:r w:rsidRPr="00D07C7C">
        <w:rPr>
          <w:lang w:val="fr-FR"/>
        </w:rPr>
        <w:lastRenderedPageBreak/>
        <w:t>concernées par les faits à l</w:t>
      </w:r>
      <w:r w:rsidR="00D07C7C" w:rsidRPr="00D07C7C">
        <w:rPr>
          <w:lang w:val="fr-FR"/>
        </w:rPr>
        <w:t>’</w:t>
      </w:r>
      <w:r w:rsidRPr="00D07C7C">
        <w:rPr>
          <w:lang w:val="fr-FR"/>
        </w:rPr>
        <w:t>origine du présent litige</w:t>
      </w:r>
      <w:r w:rsidRPr="00D07C7C">
        <w:rPr>
          <w:vertAlign w:val="superscript"/>
          <w:lang w:val="fr-FR"/>
        </w:rPr>
        <w:footnoteReference w:id="1"/>
      </w:r>
      <w:r w:rsidRPr="00D07C7C">
        <w:rPr>
          <w:lang w:val="fr-FR"/>
        </w:rPr>
        <w:t>, peuvent se résumer comme suit.</w:t>
      </w:r>
    </w:p>
    <w:p w:rsidR="00FE73C2" w:rsidRPr="00D07C7C" w:rsidRDefault="00065A11" w:rsidP="00D07C7C">
      <w:pPr>
        <w:pStyle w:val="ECHRHeading2"/>
        <w:rPr>
          <w:lang w:val="fr-FR"/>
        </w:rPr>
      </w:pPr>
      <w:r w:rsidRPr="00D07C7C">
        <w:rPr>
          <w:lang w:val="fr-FR"/>
        </w:rPr>
        <w:t>A</w:t>
      </w:r>
      <w:r w:rsidR="00FE73C2" w:rsidRPr="00D07C7C">
        <w:rPr>
          <w:lang w:val="fr-FR"/>
        </w:rPr>
        <w:t>.  Le contexte général</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5</w:t>
      </w:r>
      <w:r w:rsidRPr="00D07C7C">
        <w:rPr>
          <w:lang w:val="fr-FR"/>
        </w:rPr>
        <w:fldChar w:fldCharType="end"/>
      </w:r>
      <w:r w:rsidRPr="00D07C7C">
        <w:rPr>
          <w:lang w:val="fr-FR"/>
        </w:rPr>
        <w:t>.  Les 19, 20 et 21 juillet 2001, la ville de Gênes accueillit le vingt-septième sommet des huit pays les plus industrialisés (G8), sous la présidence du gouvernement italien. De nombreuses organisations non gouvernementales, rassemblées sous la bannière du groupe de coordination « Genoa Social Forum – GSF » (« le GSF »), organisèrent un sommet « altermondialiste » qui se déroula à la même période. Il a été estimé que 200 000 personnes (selon le ministère de l</w:t>
      </w:r>
      <w:r w:rsidR="00D07C7C" w:rsidRPr="00D07C7C">
        <w:rPr>
          <w:lang w:val="fr-FR"/>
        </w:rPr>
        <w:t>’</w:t>
      </w:r>
      <w:r w:rsidRPr="00D07C7C">
        <w:rPr>
          <w:lang w:val="fr-FR"/>
        </w:rPr>
        <w:t>Intérieur) à 300 000 personnes (selon le GSF) participèrent à l</w:t>
      </w:r>
      <w:r w:rsidR="00D07C7C" w:rsidRPr="00D07C7C">
        <w:rPr>
          <w:lang w:val="fr-FR"/>
        </w:rPr>
        <w:t>’</w:t>
      </w:r>
      <w:r w:rsidRPr="00D07C7C">
        <w:rPr>
          <w:lang w:val="fr-FR"/>
        </w:rPr>
        <w:t>événement.</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6</w:t>
      </w:r>
      <w:r w:rsidRPr="00D07C7C">
        <w:rPr>
          <w:lang w:val="fr-FR"/>
        </w:rPr>
        <w:fldChar w:fldCharType="end"/>
      </w:r>
      <w:r w:rsidRPr="00D07C7C">
        <w:rPr>
          <w:lang w:val="fr-FR"/>
        </w:rPr>
        <w:t xml:space="preserve">.  Un vaste dispositif de sécurité fut mis en place par les autorités italiennes (arrêts </w:t>
      </w:r>
      <w:r w:rsidRPr="00D07C7C">
        <w:rPr>
          <w:i/>
          <w:sz w:val="22"/>
          <w:lang w:val="fr-FR" w:eastAsia="fr-FR"/>
        </w:rPr>
        <w:t>Giuliani et Gaggio c. Italie</w:t>
      </w:r>
      <w:r w:rsidRPr="00D07C7C">
        <w:rPr>
          <w:sz w:val="22"/>
          <w:lang w:val="fr-FR" w:eastAsia="fr-FR"/>
        </w:rPr>
        <w:t xml:space="preserve"> [GC], n</w:t>
      </w:r>
      <w:r w:rsidRPr="00D07C7C">
        <w:rPr>
          <w:sz w:val="22"/>
          <w:vertAlign w:val="superscript"/>
          <w:lang w:val="fr-FR" w:eastAsia="fr-FR"/>
        </w:rPr>
        <w:t>o</w:t>
      </w:r>
      <w:r w:rsidRPr="00D07C7C">
        <w:rPr>
          <w:sz w:val="22"/>
          <w:lang w:val="fr-FR" w:eastAsia="fr-FR"/>
        </w:rPr>
        <w:t xml:space="preserve"> 23458/02</w:t>
      </w:r>
      <w:r w:rsidRPr="00D07C7C">
        <w:rPr>
          <w:lang w:val="fr-FR" w:eastAsia="fr-FR"/>
        </w:rPr>
        <w:t xml:space="preserve">, § 12, CEDH 2011, et </w:t>
      </w:r>
      <w:r w:rsidRPr="00D07C7C">
        <w:rPr>
          <w:i/>
          <w:lang w:val="fr-FR"/>
        </w:rPr>
        <w:t>Cestaro c. Italie</w:t>
      </w:r>
      <w:r w:rsidRPr="00D07C7C">
        <w:rPr>
          <w:snapToGrid w:val="0"/>
          <w:lang w:val="fr-FR"/>
        </w:rPr>
        <w:t xml:space="preserve">, </w:t>
      </w:r>
      <w:r w:rsidRPr="00D07C7C">
        <w:rPr>
          <w:lang w:val="fr-FR"/>
        </w:rPr>
        <w:t>n</w:t>
      </w:r>
      <w:r w:rsidRPr="00D07C7C">
        <w:rPr>
          <w:vertAlign w:val="superscript"/>
          <w:lang w:val="fr-FR"/>
        </w:rPr>
        <w:t>o</w:t>
      </w:r>
      <w:r w:rsidRPr="00D07C7C">
        <w:rPr>
          <w:lang w:val="fr-FR"/>
        </w:rPr>
        <w:t xml:space="preserve"> 6884/11</w:t>
      </w:r>
      <w:r w:rsidRPr="00D07C7C">
        <w:rPr>
          <w:snapToGrid w:val="0"/>
          <w:lang w:val="fr-FR"/>
        </w:rPr>
        <w:t xml:space="preserve">, §§ 11-12, 23-24, 7 </w:t>
      </w:r>
      <w:r w:rsidRPr="00D07C7C">
        <w:rPr>
          <w:lang w:val="fr-FR"/>
        </w:rPr>
        <w:t>avril</w:t>
      </w:r>
      <w:r w:rsidRPr="00D07C7C">
        <w:rPr>
          <w:snapToGrid w:val="0"/>
          <w:lang w:val="fr-FR"/>
        </w:rPr>
        <w:t xml:space="preserve"> 2015</w:t>
      </w:r>
      <w:r w:rsidRPr="00D07C7C">
        <w:rPr>
          <w:lang w:val="fr-FR" w:eastAsia="fr-FR"/>
        </w:rPr>
        <w:t>). Celles-ci</w:t>
      </w:r>
      <w:r w:rsidRPr="00D07C7C">
        <w:rPr>
          <w:lang w:val="fr-FR"/>
        </w:rPr>
        <w:t xml:space="preserve"> divisèrent la ville en trois zones concentriques : la « zone rouge », de surveillance maximale, où le sommet devait se dérouler et où les délégations devaient loger ; la « zone jaune », une zone tampon où les manifestations étaient en principe interdites, sauf autorisation du chef du bureau de la police (</w:t>
      </w:r>
      <w:r w:rsidRPr="00D07C7C">
        <w:rPr>
          <w:i/>
          <w:lang w:val="fr-FR"/>
        </w:rPr>
        <w:t>questore</w:t>
      </w:r>
      <w:r w:rsidRPr="00D07C7C">
        <w:rPr>
          <w:lang w:val="fr-FR"/>
        </w:rPr>
        <w:t>) ; et la « zone blanche », où les principales manifestations étaient programmées.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7</w:t>
      </w:r>
      <w:r w:rsidRPr="00D07C7C">
        <w:rPr>
          <w:lang w:val="fr-FR"/>
        </w:rPr>
        <w:fldChar w:fldCharType="end"/>
      </w:r>
      <w:r w:rsidRPr="00D07C7C">
        <w:rPr>
          <w:lang w:val="fr-FR"/>
        </w:rPr>
        <w:t>.  Les autorités attribuèrent une couleur à chaque groupe organisé, à chaque association, à chaque syndicat et à chaque ONG, en fonction de sa dangerosité potentielle : le « bloc rose », non dangereux ; le « bloc jaune » et le « bloc bleu », considérés comme comprenant des auteurs potentiels d</w:t>
      </w:r>
      <w:r w:rsidR="00D07C7C" w:rsidRPr="00D07C7C">
        <w:rPr>
          <w:lang w:val="fr-FR"/>
        </w:rPr>
        <w:t>’</w:t>
      </w:r>
      <w:r w:rsidRPr="00D07C7C">
        <w:rPr>
          <w:lang w:val="fr-FR"/>
        </w:rPr>
        <w:t>actes de vandalisme, de blocage de rues et de rails, et également d</w:t>
      </w:r>
      <w:r w:rsidR="00D07C7C" w:rsidRPr="00D07C7C">
        <w:rPr>
          <w:lang w:val="fr-FR"/>
        </w:rPr>
        <w:t>’</w:t>
      </w:r>
      <w:r w:rsidRPr="00D07C7C">
        <w:rPr>
          <w:lang w:val="fr-FR"/>
        </w:rPr>
        <w:t>affrontements avec la police ; et enfin, le « bloc noir », dont faisaient partie plusieurs groupes, anarchistes ou plus généralement violents, ayant pour but de commettre des saccages systématiques.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8</w:t>
      </w:r>
      <w:r w:rsidRPr="00D07C7C">
        <w:rPr>
          <w:lang w:val="fr-FR"/>
        </w:rPr>
        <w:fldChar w:fldCharType="end"/>
      </w:r>
      <w:r w:rsidRPr="00D07C7C">
        <w:rPr>
          <w:lang w:val="fr-FR"/>
        </w:rPr>
        <w:t>.  La journée du 19 juillet se déroula dans une ambiance relativement calme, sans épisodes particulièrement significatifs. Par contre, les journées des</w:t>
      </w:r>
      <w:r w:rsidR="00BE7CE0" w:rsidRPr="00D07C7C">
        <w:rPr>
          <w:lang w:val="fr-FR"/>
        </w:rPr>
        <w:t xml:space="preserve"> 20 et 21 </w:t>
      </w:r>
      <w:r w:rsidRPr="00D07C7C">
        <w:rPr>
          <w:lang w:val="fr-FR"/>
        </w:rPr>
        <w:t>juillet furent marquées par des accrochages de plus en plus violents entre les forces de police et certains manifestants appartenant essentiellement au « bloc noir ». Au cours de ces incidents, plusieurs centaines de manifestants et de membres des forces de l</w:t>
      </w:r>
      <w:r w:rsidR="00D07C7C" w:rsidRPr="00D07C7C">
        <w:rPr>
          <w:lang w:val="fr-FR"/>
        </w:rPr>
        <w:t>’</w:t>
      </w:r>
      <w:r w:rsidRPr="00D07C7C">
        <w:rPr>
          <w:lang w:val="fr-FR"/>
        </w:rPr>
        <w:t xml:space="preserve">ordre furent blessés ou intoxiqués par du gaz lacrymogènes. Des quartiers entiers de la ville de Gênes furent dévastés (pour </w:t>
      </w:r>
      <w:r w:rsidRPr="00D07C7C">
        <w:rPr>
          <w:lang w:val="fr-FR"/>
        </w:rPr>
        <w:lastRenderedPageBreak/>
        <w:t xml:space="preserve">une analyse plus détaillée, voir </w:t>
      </w:r>
      <w:r w:rsidRPr="00D07C7C">
        <w:rPr>
          <w:i/>
          <w:lang w:val="fr-FR"/>
        </w:rPr>
        <w:t>Giuliani et Gaggio</w:t>
      </w:r>
      <w:r w:rsidRPr="00D07C7C">
        <w:rPr>
          <w:lang w:val="fr-FR"/>
        </w:rPr>
        <w:t xml:space="preserve">, précité, §§ 12-30, et </w:t>
      </w:r>
      <w:r w:rsidRPr="00D07C7C">
        <w:rPr>
          <w:i/>
          <w:lang w:val="fr-FR"/>
        </w:rPr>
        <w:t>Cestaro</w:t>
      </w:r>
      <w:r w:rsidRPr="00D07C7C">
        <w:rPr>
          <w:lang w:val="fr-FR"/>
        </w:rPr>
        <w:t>,</w:t>
      </w:r>
      <w:r w:rsidRPr="00D07C7C">
        <w:rPr>
          <w:i/>
          <w:lang w:val="fr-FR"/>
        </w:rPr>
        <w:t xml:space="preserve"> </w:t>
      </w:r>
      <w:r w:rsidRPr="00D07C7C">
        <w:rPr>
          <w:lang w:val="fr-FR"/>
        </w:rPr>
        <w:t>précité,</w:t>
      </w:r>
      <w:r w:rsidRPr="00D07C7C">
        <w:rPr>
          <w:snapToGrid w:val="0"/>
          <w:lang w:val="fr-FR"/>
        </w:rPr>
        <w:t xml:space="preserve"> §§ 9-17</w:t>
      </w:r>
      <w:r w:rsidRPr="00D07C7C">
        <w:rPr>
          <w:lang w:val="fr-FR"/>
        </w:rPr>
        <w:t>).</w:t>
      </w:r>
    </w:p>
    <w:p w:rsidR="00FE73C2" w:rsidRPr="00D07C7C" w:rsidRDefault="00065A11" w:rsidP="00D07C7C">
      <w:pPr>
        <w:pStyle w:val="ECHRHeading2"/>
        <w:rPr>
          <w:lang w:val="fr-FR"/>
        </w:rPr>
      </w:pPr>
      <w:r w:rsidRPr="00D07C7C">
        <w:rPr>
          <w:lang w:val="fr-FR"/>
        </w:rPr>
        <w:t>B</w:t>
      </w:r>
      <w:r w:rsidR="00FE73C2" w:rsidRPr="00D07C7C">
        <w:rPr>
          <w:lang w:val="fr-FR"/>
        </w:rPr>
        <w:t>.  Les faits ayant précédé l</w:t>
      </w:r>
      <w:r w:rsidR="00D07C7C" w:rsidRPr="00D07C7C">
        <w:rPr>
          <w:lang w:val="fr-FR"/>
        </w:rPr>
        <w:t>’</w:t>
      </w:r>
      <w:r w:rsidR="00FE73C2" w:rsidRPr="00D07C7C">
        <w:rPr>
          <w:lang w:val="fr-FR"/>
        </w:rPr>
        <w:t>irruption dans l</w:t>
      </w:r>
      <w:r w:rsidR="00D07C7C" w:rsidRPr="00D07C7C">
        <w:rPr>
          <w:lang w:val="fr-FR"/>
        </w:rPr>
        <w:t>’</w:t>
      </w:r>
      <w:r w:rsidR="00FE73C2" w:rsidRPr="00D07C7C">
        <w:rPr>
          <w:lang w:val="fr-FR"/>
        </w:rPr>
        <w:t>école Diaz-Pertini</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9</w:t>
      </w:r>
      <w:r w:rsidRPr="00D07C7C">
        <w:rPr>
          <w:lang w:val="fr-FR"/>
        </w:rPr>
        <w:fldChar w:fldCharType="end"/>
      </w:r>
      <w:r w:rsidRPr="00D07C7C">
        <w:rPr>
          <w:lang w:val="fr-FR"/>
        </w:rPr>
        <w:t>.  Le 21 juillet, le chef de la police ordonna au préfet A., chef adjoint de la police et chargé de l</w:t>
      </w:r>
      <w:r w:rsidR="00D07C7C" w:rsidRPr="00D07C7C">
        <w:rPr>
          <w:lang w:val="fr-FR"/>
        </w:rPr>
        <w:t>’</w:t>
      </w:r>
      <w:r w:rsidRPr="00D07C7C">
        <w:rPr>
          <w:lang w:val="fr-FR"/>
        </w:rPr>
        <w:t>ordre public pendant le sommet, de confier la responsabilité de la perquisition de l</w:t>
      </w:r>
      <w:r w:rsidR="00D07C7C" w:rsidRPr="00D07C7C">
        <w:rPr>
          <w:lang w:val="fr-FR"/>
        </w:rPr>
        <w:t>’</w:t>
      </w:r>
      <w:r w:rsidRPr="00D07C7C">
        <w:rPr>
          <w:lang w:val="fr-FR"/>
        </w:rPr>
        <w:t xml:space="preserve">école </w:t>
      </w:r>
      <w:r w:rsidRPr="00D07C7C">
        <w:rPr>
          <w:i/>
          <w:lang w:val="fr-FR"/>
        </w:rPr>
        <w:t>Paul Klee</w:t>
      </w:r>
      <w:r w:rsidRPr="00D07C7C">
        <w:rPr>
          <w:lang w:val="fr-FR"/>
        </w:rPr>
        <w:t xml:space="preserve"> à F.G., chef du service central opérationnel de la police criminelle (« le SCO » ; voir l</w:t>
      </w:r>
      <w:r w:rsidR="00D07C7C" w:rsidRPr="00D07C7C">
        <w:rPr>
          <w:lang w:val="fr-FR"/>
        </w:rPr>
        <w:t>’</w:t>
      </w:r>
      <w:r w:rsidRPr="00D07C7C">
        <w:rPr>
          <w:lang w:val="fr-FR"/>
        </w:rPr>
        <w:t>arrêt n</w:t>
      </w:r>
      <w:r w:rsidRPr="00D07C7C">
        <w:rPr>
          <w:vertAlign w:val="superscript"/>
          <w:lang w:val="fr-FR"/>
        </w:rPr>
        <w:t>o</w:t>
      </w:r>
      <w:r w:rsidRPr="00D07C7C">
        <w:rPr>
          <w:lang w:val="fr-FR"/>
        </w:rPr>
        <w:t> 4252/08 du tribunal de Gênes, rendu le 13 novembre 2008 et déposé le 11 février 2009, p. 190). À l</w:t>
      </w:r>
      <w:r w:rsidR="00D07C7C" w:rsidRPr="00D07C7C">
        <w:rPr>
          <w:lang w:val="fr-FR"/>
        </w:rPr>
        <w:t>’</w:t>
      </w:r>
      <w:r w:rsidRPr="00D07C7C">
        <w:rPr>
          <w:lang w:val="fr-FR"/>
        </w:rPr>
        <w:t>issue de l</w:t>
      </w:r>
      <w:r w:rsidR="00D07C7C" w:rsidRPr="00D07C7C">
        <w:rPr>
          <w:lang w:val="fr-FR"/>
        </w:rPr>
        <w:t>’</w:t>
      </w:r>
      <w:r w:rsidRPr="00D07C7C">
        <w:rPr>
          <w:lang w:val="fr-FR"/>
        </w:rPr>
        <w:t>intervention, la police procéda à l</w:t>
      </w:r>
      <w:r w:rsidR="00D07C7C" w:rsidRPr="00D07C7C">
        <w:rPr>
          <w:lang w:val="fr-FR"/>
        </w:rPr>
        <w:t>’</w:t>
      </w:r>
      <w:r w:rsidRPr="00D07C7C">
        <w:rPr>
          <w:lang w:val="fr-FR"/>
        </w:rPr>
        <w:t>arrestation d</w:t>
      </w:r>
      <w:r w:rsidR="00D07C7C" w:rsidRPr="00D07C7C">
        <w:rPr>
          <w:lang w:val="fr-FR"/>
        </w:rPr>
        <w:t>’</w:t>
      </w:r>
      <w:r w:rsidRPr="00D07C7C">
        <w:rPr>
          <w:lang w:val="fr-FR"/>
        </w:rPr>
        <w:t>une vingtaine de personnes. Celles-ci furent aussitôt remises en liberté sur ordre du parquet ou du juge des investigations préliminaires.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10</w:t>
      </w:r>
      <w:r w:rsidRPr="00D07C7C">
        <w:rPr>
          <w:lang w:val="fr-FR"/>
        </w:rPr>
        <w:fldChar w:fldCharType="end"/>
      </w:r>
      <w:r w:rsidRPr="00D07C7C">
        <w:rPr>
          <w:lang w:val="fr-FR"/>
        </w:rPr>
        <w:t>.  Le même jour, le préfet L.B. arriva à Gênes, sur ordre du chef de la police, afin de suivre les opérations de police. Selon les déclarations du préfet A., confirmées par le directeur central de la police criminelle A.M., les ordres du chef de la police s</w:t>
      </w:r>
      <w:r w:rsidR="00D07C7C" w:rsidRPr="00D07C7C">
        <w:rPr>
          <w:lang w:val="fr-FR"/>
        </w:rPr>
        <w:t>’</w:t>
      </w:r>
      <w:r w:rsidRPr="00D07C7C">
        <w:rPr>
          <w:lang w:val="fr-FR"/>
        </w:rPr>
        <w:t>expliquaient par la volonté de changer de stratégie et de passer à une approche plus « incisive », dans le but d</w:t>
      </w:r>
      <w:r w:rsidR="00D07C7C" w:rsidRPr="00D07C7C">
        <w:rPr>
          <w:lang w:val="fr-FR"/>
        </w:rPr>
        <w:t>’</w:t>
      </w:r>
      <w:r w:rsidRPr="00D07C7C">
        <w:rPr>
          <w:lang w:val="fr-FR"/>
        </w:rPr>
        <w:t>effacer l</w:t>
      </w:r>
      <w:r w:rsidR="00D07C7C" w:rsidRPr="00D07C7C">
        <w:rPr>
          <w:lang w:val="fr-FR"/>
        </w:rPr>
        <w:t>’</w:t>
      </w:r>
      <w:r w:rsidRPr="00D07C7C">
        <w:rPr>
          <w:lang w:val="fr-FR"/>
        </w:rPr>
        <w:t>image d</w:t>
      </w:r>
      <w:r w:rsidR="00D07C7C" w:rsidRPr="00D07C7C">
        <w:rPr>
          <w:lang w:val="fr-FR"/>
        </w:rPr>
        <w:t>’</w:t>
      </w:r>
      <w:r w:rsidRPr="00D07C7C">
        <w:rPr>
          <w:lang w:val="fr-FR"/>
        </w:rPr>
        <w:t>une police inerte face aux épisodes de pillage et de dévastation. En ce sens, le chef de la police donna l</w:t>
      </w:r>
      <w:r w:rsidR="00D07C7C" w:rsidRPr="00D07C7C">
        <w:rPr>
          <w:lang w:val="fr-FR"/>
        </w:rPr>
        <w:t>’</w:t>
      </w:r>
      <w:r w:rsidRPr="00D07C7C">
        <w:rPr>
          <w:lang w:val="fr-FR"/>
        </w:rPr>
        <w:t>instruction de former des unités spéciales (</w:t>
      </w:r>
      <w:r w:rsidRPr="00D07C7C">
        <w:rPr>
          <w:i/>
          <w:lang w:val="fr-FR"/>
        </w:rPr>
        <w:t>pattuglioni</w:t>
      </w:r>
      <w:r w:rsidRPr="00D07C7C">
        <w:rPr>
          <w:lang w:val="fr-FR"/>
        </w:rPr>
        <w:t>) – placées sous la direction du SCO et de fonctionnaires des unités mobiles –, chargées d</w:t>
      </w:r>
      <w:r w:rsidR="00D07C7C" w:rsidRPr="00D07C7C">
        <w:rPr>
          <w:lang w:val="fr-FR"/>
        </w:rPr>
        <w:t>’</w:t>
      </w:r>
      <w:r w:rsidRPr="00D07C7C">
        <w:rPr>
          <w:lang w:val="fr-FR"/>
        </w:rPr>
        <w:t>arrêter les membres du « bloc noir ».</w:t>
      </w:r>
    </w:p>
    <w:bookmarkStart w:id="1" w:name="EPISODE_JUSTIFIANT_OPERATION"/>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11</w:t>
      </w:r>
      <w:r w:rsidRPr="00D07C7C">
        <w:rPr>
          <w:lang w:val="fr-FR"/>
        </w:rPr>
        <w:fldChar w:fldCharType="end"/>
      </w:r>
      <w:bookmarkEnd w:id="1"/>
      <w:r w:rsidRPr="00D07C7C">
        <w:rPr>
          <w:lang w:val="fr-FR"/>
        </w:rPr>
        <w:t>.  Toujours le même jour, en début de soirée, une de ces unités transita par la rue Cesare Battisti, devant les écoles Diaz-Pertini et Pascoli.</w:t>
      </w:r>
      <w:r w:rsidRPr="00D07C7C">
        <w:rPr>
          <w:i/>
          <w:lang w:val="fr-FR"/>
        </w:rPr>
        <w:t xml:space="preserve"> </w:t>
      </w:r>
      <w:r w:rsidRPr="00D07C7C">
        <w:rPr>
          <w:lang w:val="fr-FR"/>
        </w:rPr>
        <w:t>Ces</w:t>
      </w:r>
      <w:r w:rsidRPr="00D07C7C">
        <w:rPr>
          <w:i/>
          <w:lang w:val="fr-FR"/>
        </w:rPr>
        <w:t xml:space="preserve"> </w:t>
      </w:r>
      <w:r w:rsidRPr="00D07C7C">
        <w:rPr>
          <w:lang w:val="fr-FR"/>
        </w:rPr>
        <w:t>deux écoles avaient été mises à la disposition du GSF par la municipalité de Gênes : la première était utilisée comme lieu d</w:t>
      </w:r>
      <w:r w:rsidR="00D07C7C" w:rsidRPr="00D07C7C">
        <w:rPr>
          <w:lang w:val="fr-FR"/>
        </w:rPr>
        <w:t>’</w:t>
      </w:r>
      <w:r w:rsidRPr="00D07C7C">
        <w:rPr>
          <w:lang w:val="fr-FR"/>
        </w:rPr>
        <w:t>hébergement et point d</w:t>
      </w:r>
      <w:r w:rsidR="00D07C7C" w:rsidRPr="00D07C7C">
        <w:rPr>
          <w:lang w:val="fr-FR"/>
        </w:rPr>
        <w:t>’</w:t>
      </w:r>
      <w:r w:rsidRPr="00D07C7C">
        <w:rPr>
          <w:lang w:val="fr-FR"/>
        </w:rPr>
        <w:t>accès internet, la deuxième abritait la salle de presse et le bureau du service légal du GSF. Le passage de la patrouille, composée de quatre véhicules, provoqua une intense réaction verbale de la part des personnes qui se trouvaient devant les deux écoles. En outre, une bouteille vide fut lancée en direction des véhicules de police (voir le jugement du tribunal de Gênes, pp. 244-249, et l</w:t>
      </w:r>
      <w:r w:rsidR="00D07C7C" w:rsidRPr="00D07C7C">
        <w:rPr>
          <w:lang w:val="fr-FR"/>
        </w:rPr>
        <w:t>’</w:t>
      </w:r>
      <w:r w:rsidRPr="00D07C7C">
        <w:rPr>
          <w:lang w:val="fr-FR"/>
        </w:rPr>
        <w:t>arrêt de la Cour de cassation, p.122).</w:t>
      </w:r>
    </w:p>
    <w:bookmarkStart w:id="2" w:name="PLANIFICATION_OPERATION"/>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12</w:t>
      </w:r>
      <w:r w:rsidRPr="00D07C7C">
        <w:rPr>
          <w:lang w:val="fr-FR"/>
        </w:rPr>
        <w:fldChar w:fldCharType="end"/>
      </w:r>
      <w:bookmarkEnd w:id="2"/>
      <w:r w:rsidRPr="00D07C7C">
        <w:rPr>
          <w:lang w:val="fr-FR"/>
        </w:rPr>
        <w:t>.  À la suite de cet épisode, une réunion se tint à la préfecture en présence des plus hauts fonctionnaires de police présents à Gênes. Après avoir pris contact avec le membre du GSF en charge de la sécurité de l</w:t>
      </w:r>
      <w:r w:rsidR="00D07C7C" w:rsidRPr="00D07C7C">
        <w:rPr>
          <w:lang w:val="fr-FR"/>
        </w:rPr>
        <w:t>’</w:t>
      </w:r>
      <w:r w:rsidRPr="00D07C7C">
        <w:rPr>
          <w:lang w:val="fr-FR"/>
        </w:rPr>
        <w:t>école Diaz-Pertini, ils décidèrent qu</w:t>
      </w:r>
      <w:r w:rsidR="00D07C7C" w:rsidRPr="00D07C7C">
        <w:rPr>
          <w:lang w:val="fr-FR"/>
        </w:rPr>
        <w:t>’</w:t>
      </w:r>
      <w:r w:rsidRPr="00D07C7C">
        <w:rPr>
          <w:lang w:val="fr-FR"/>
        </w:rPr>
        <w:t>il serait procédé à une perquisition (</w:t>
      </w:r>
      <w:r w:rsidRPr="00D07C7C">
        <w:rPr>
          <w:i/>
          <w:lang w:val="fr-FR"/>
        </w:rPr>
        <w:t>perquisizione ad iniziativa autonoma</w:t>
      </w:r>
      <w:r w:rsidRPr="00D07C7C">
        <w:rPr>
          <w:lang w:val="fr-FR"/>
        </w:rPr>
        <w:t>) pour recueillir des éléments de preuve et, le cas échéant, arrêter les membres du « bloc noir » responsables de dévastations et de saccages. Il fut décidé de procéder à une première phase de « sécurisation » des lieux par une unité composée majoritairement d</w:t>
      </w:r>
      <w:r w:rsidR="00D07C7C" w:rsidRPr="00D07C7C">
        <w:rPr>
          <w:lang w:val="fr-FR"/>
        </w:rPr>
        <w:t>’</w:t>
      </w:r>
      <w:r w:rsidRPr="00D07C7C">
        <w:rPr>
          <w:lang w:val="fr-FR"/>
        </w:rPr>
        <w:t xml:space="preserve">agents appartenant à une division spécialisée dans les opérations antiémeutes et ayant suivi une formation </w:t>
      </w:r>
      <w:r w:rsidRPr="00D07C7C">
        <w:rPr>
          <w:i/>
          <w:lang w:val="fr-FR"/>
        </w:rPr>
        <w:t xml:space="preserve">ad hoc </w:t>
      </w:r>
      <w:r w:rsidRPr="00D07C7C">
        <w:rPr>
          <w:lang w:val="fr-FR"/>
        </w:rPr>
        <w:t xml:space="preserve">(le </w:t>
      </w:r>
      <w:r w:rsidRPr="00D07C7C">
        <w:rPr>
          <w:i/>
          <w:lang w:val="fr-FR"/>
        </w:rPr>
        <w:t>VII Nucleo antisommossa</w:t>
      </w:r>
      <w:r w:rsidRPr="00D07C7C">
        <w:rPr>
          <w:lang w:val="fr-FR"/>
        </w:rPr>
        <w:t>, constitué au sein de l</w:t>
      </w:r>
      <w:r w:rsidR="00D07C7C" w:rsidRPr="00D07C7C">
        <w:rPr>
          <w:lang w:val="fr-FR"/>
        </w:rPr>
        <w:t>’</w:t>
      </w:r>
      <w:r w:rsidRPr="00D07C7C">
        <w:rPr>
          <w:lang w:val="fr-FR"/>
        </w:rPr>
        <w:t xml:space="preserve">unité mobile de Rome). La deuxième phase, correspondant à la perquisition proprement dite, fut attribuée à une autre unité de la police. Enfin, une unité de </w:t>
      </w:r>
      <w:r w:rsidRPr="00D07C7C">
        <w:rPr>
          <w:i/>
          <w:lang w:val="fr-FR"/>
        </w:rPr>
        <w:lastRenderedPageBreak/>
        <w:t>carabinieri</w:t>
      </w:r>
      <w:r w:rsidRPr="00D07C7C">
        <w:rPr>
          <w:lang w:val="fr-FR"/>
        </w:rPr>
        <w:t xml:space="preserve"> fut chargée d</w:t>
      </w:r>
      <w:r w:rsidR="00D07C7C" w:rsidRPr="00D07C7C">
        <w:rPr>
          <w:lang w:val="fr-FR"/>
        </w:rPr>
        <w:t>’</w:t>
      </w:r>
      <w:r w:rsidRPr="00D07C7C">
        <w:rPr>
          <w:lang w:val="fr-FR"/>
        </w:rPr>
        <w:t>encercler le bâtiment afin d</w:t>
      </w:r>
      <w:r w:rsidR="00D07C7C" w:rsidRPr="00D07C7C">
        <w:rPr>
          <w:lang w:val="fr-FR"/>
        </w:rPr>
        <w:t>’</w:t>
      </w:r>
      <w:r w:rsidRPr="00D07C7C">
        <w:rPr>
          <w:lang w:val="fr-FR"/>
        </w:rPr>
        <w:t>empêcher la fuite éventuelle des suspects. Le chef de la police fut informé de l</w:t>
      </w:r>
      <w:r w:rsidR="00D07C7C" w:rsidRPr="00D07C7C">
        <w:rPr>
          <w:lang w:val="fr-FR"/>
        </w:rPr>
        <w:t>’</w:t>
      </w:r>
      <w:r w:rsidRPr="00D07C7C">
        <w:rPr>
          <w:lang w:val="fr-FR"/>
        </w:rPr>
        <w:t>opération (jugement du tribunal de Gênes</w:t>
      </w:r>
      <w:r w:rsidR="00BE7CE0" w:rsidRPr="00D07C7C">
        <w:rPr>
          <w:lang w:val="fr-FR"/>
        </w:rPr>
        <w:t>, pp. </w:t>
      </w:r>
      <w:r w:rsidRPr="00D07C7C">
        <w:rPr>
          <w:lang w:val="fr-FR"/>
        </w:rPr>
        <w:t>226 et 249-252, et « </w:t>
      </w:r>
      <w:r w:rsidRPr="00D07C7C">
        <w:rPr>
          <w:szCs w:val="24"/>
          <w:lang w:val="fr-FR"/>
        </w:rPr>
        <w:t>Rapport final de l</w:t>
      </w:r>
      <w:r w:rsidR="00D07C7C" w:rsidRPr="00D07C7C">
        <w:rPr>
          <w:szCs w:val="24"/>
          <w:lang w:val="fr-FR"/>
        </w:rPr>
        <w:t>’</w:t>
      </w:r>
      <w:r w:rsidRPr="00D07C7C">
        <w:rPr>
          <w:szCs w:val="24"/>
          <w:lang w:val="fr-FR"/>
        </w:rPr>
        <w:t>enquête parlementaire d</w:t>
      </w:r>
      <w:r w:rsidR="00D07C7C" w:rsidRPr="00D07C7C">
        <w:rPr>
          <w:szCs w:val="24"/>
          <w:lang w:val="fr-FR"/>
        </w:rPr>
        <w:t>’</w:t>
      </w:r>
      <w:r w:rsidRPr="00D07C7C">
        <w:rPr>
          <w:szCs w:val="24"/>
          <w:lang w:val="fr-FR"/>
        </w:rPr>
        <w:t>information sur les faits survenus lors du G8 de Gênes », pp.</w:t>
      </w:r>
      <w:r w:rsidRPr="00D07C7C">
        <w:rPr>
          <w:lang w:val="fr-FR"/>
        </w:rPr>
        <w:t xml:space="preserve"> 29-31). D</w:t>
      </w:r>
      <w:r w:rsidR="00D07C7C" w:rsidRPr="00D07C7C">
        <w:rPr>
          <w:lang w:val="fr-FR"/>
        </w:rPr>
        <w:t>’</w:t>
      </w:r>
      <w:r w:rsidRPr="00D07C7C">
        <w:rPr>
          <w:lang w:val="fr-FR"/>
        </w:rPr>
        <w:t>après l</w:t>
      </w:r>
      <w:r w:rsidR="00D07C7C" w:rsidRPr="00D07C7C">
        <w:rPr>
          <w:lang w:val="fr-FR"/>
        </w:rPr>
        <w:t>’</w:t>
      </w:r>
      <w:r w:rsidRPr="00D07C7C">
        <w:rPr>
          <w:lang w:val="fr-FR"/>
        </w:rPr>
        <w:t>arrêt de la Cour de cassation, environ 500 agents furent mobilisés pour cette opération (arrêt de la Cour de cassation, p. 204).</w:t>
      </w:r>
    </w:p>
    <w:p w:rsidR="00FE73C2" w:rsidRPr="00D07C7C" w:rsidRDefault="00065A11" w:rsidP="00D07C7C">
      <w:pPr>
        <w:pStyle w:val="ECHRHeading2"/>
        <w:rPr>
          <w:lang w:val="fr-FR"/>
        </w:rPr>
      </w:pPr>
      <w:r w:rsidRPr="00D07C7C">
        <w:rPr>
          <w:lang w:val="fr-FR"/>
        </w:rPr>
        <w:t>C</w:t>
      </w:r>
      <w:r w:rsidR="00FE73C2" w:rsidRPr="00D07C7C">
        <w:rPr>
          <w:lang w:val="fr-FR"/>
        </w:rPr>
        <w:t>.  L</w:t>
      </w:r>
      <w:r w:rsidR="00D07C7C" w:rsidRPr="00D07C7C">
        <w:rPr>
          <w:lang w:val="fr-FR"/>
        </w:rPr>
        <w:t>’</w:t>
      </w:r>
      <w:r w:rsidR="00FE73C2" w:rsidRPr="00D07C7C">
        <w:rPr>
          <w:lang w:val="fr-FR"/>
        </w:rPr>
        <w:t>irruption de la police dans l</w:t>
      </w:r>
      <w:r w:rsidR="00D07C7C" w:rsidRPr="00D07C7C">
        <w:rPr>
          <w:lang w:val="fr-FR"/>
        </w:rPr>
        <w:t>’</w:t>
      </w:r>
      <w:r w:rsidR="00FE73C2" w:rsidRPr="00D07C7C">
        <w:rPr>
          <w:lang w:val="fr-FR"/>
        </w:rPr>
        <w:t>école Diaz-Pertini</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13</w:t>
      </w:r>
      <w:r w:rsidRPr="00D07C7C">
        <w:rPr>
          <w:lang w:val="fr-FR"/>
        </w:rPr>
        <w:fldChar w:fldCharType="end"/>
      </w:r>
      <w:r w:rsidRPr="00D07C7C">
        <w:rPr>
          <w:lang w:val="fr-FR"/>
        </w:rPr>
        <w:t xml:space="preserve">.  Vers minuit, une fois arrivés à proximité des deux écoles, les membres du </w:t>
      </w:r>
      <w:r w:rsidRPr="00D07C7C">
        <w:rPr>
          <w:i/>
          <w:lang w:val="fr-FR"/>
        </w:rPr>
        <w:t>VII Nucleo antisommossa</w:t>
      </w:r>
      <w:r w:rsidRPr="00D07C7C">
        <w:rPr>
          <w:lang w:val="fr-FR"/>
        </w:rPr>
        <w:t xml:space="preserve">, munis de casques, de boucliers et de matraques de type </w:t>
      </w:r>
      <w:r w:rsidRPr="00D07C7C">
        <w:rPr>
          <w:i/>
          <w:lang w:val="fr-FR"/>
        </w:rPr>
        <w:t>tonfa</w:t>
      </w:r>
      <w:r w:rsidRPr="00D07C7C">
        <w:rPr>
          <w:lang w:val="fr-FR"/>
        </w:rPr>
        <w:t>, suivis par d</w:t>
      </w:r>
      <w:r w:rsidR="00D07C7C" w:rsidRPr="00D07C7C">
        <w:rPr>
          <w:lang w:val="fr-FR"/>
        </w:rPr>
        <w:t>’</w:t>
      </w:r>
      <w:r w:rsidRPr="00D07C7C">
        <w:rPr>
          <w:lang w:val="fr-FR"/>
        </w:rPr>
        <w:t>autres agents équipés à l</w:t>
      </w:r>
      <w:r w:rsidR="00D07C7C" w:rsidRPr="00D07C7C">
        <w:rPr>
          <w:lang w:val="fr-FR"/>
        </w:rPr>
        <w:t>’</w:t>
      </w:r>
      <w:r w:rsidRPr="00D07C7C">
        <w:rPr>
          <w:lang w:val="fr-FR"/>
        </w:rPr>
        <w:t>identique, commencèrent à avancer au pas de course. Un journaliste britannique et un conseiller municipal, qui se trouvaient à l</w:t>
      </w:r>
      <w:r w:rsidR="00D07C7C" w:rsidRPr="00D07C7C">
        <w:rPr>
          <w:lang w:val="fr-FR"/>
        </w:rPr>
        <w:t>’</w:t>
      </w:r>
      <w:r w:rsidRPr="00D07C7C">
        <w:rPr>
          <w:lang w:val="fr-FR"/>
        </w:rPr>
        <w:t>extérieur des deux écoles, furent frappés par des agents de police (jugement du tribunal de Gênes, pp. 253-261).</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14</w:t>
      </w:r>
      <w:r w:rsidRPr="00D07C7C">
        <w:rPr>
          <w:lang w:val="fr-FR"/>
        </w:rPr>
        <w:fldChar w:fldCharType="end"/>
      </w:r>
      <w:r w:rsidRPr="00D07C7C">
        <w:rPr>
          <w:lang w:val="fr-FR"/>
        </w:rPr>
        <w:t>.  Au même moment, certains des occupants de l</w:t>
      </w:r>
      <w:r w:rsidR="00D07C7C" w:rsidRPr="00D07C7C">
        <w:rPr>
          <w:lang w:val="fr-FR"/>
        </w:rPr>
        <w:t>’</w:t>
      </w:r>
      <w:r w:rsidRPr="00D07C7C">
        <w:rPr>
          <w:lang w:val="fr-FR"/>
        </w:rPr>
        <w:t>école Diaz-Pertini qui se trouvaient à l</w:t>
      </w:r>
      <w:r w:rsidR="00D07C7C" w:rsidRPr="00D07C7C">
        <w:rPr>
          <w:lang w:val="fr-FR"/>
        </w:rPr>
        <w:t>’</w:t>
      </w:r>
      <w:r w:rsidRPr="00D07C7C">
        <w:rPr>
          <w:lang w:val="fr-FR"/>
        </w:rPr>
        <w:t>extérieur regagnèrent alors le bâtiment et en fermèrent la grille et les portes d</w:t>
      </w:r>
      <w:r w:rsidR="00D07C7C" w:rsidRPr="00D07C7C">
        <w:rPr>
          <w:lang w:val="fr-FR"/>
        </w:rPr>
        <w:t>’</w:t>
      </w:r>
      <w:r w:rsidRPr="00D07C7C">
        <w:rPr>
          <w:lang w:val="fr-FR"/>
        </w:rPr>
        <w:t>entrée, essayant de les bloquer avec des bancs et des planches en bois. La grille fut rapidement forcée à l</w:t>
      </w:r>
      <w:r w:rsidR="00D07C7C" w:rsidRPr="00D07C7C">
        <w:rPr>
          <w:lang w:val="fr-FR"/>
        </w:rPr>
        <w:t>’</w:t>
      </w:r>
      <w:r w:rsidRPr="00D07C7C">
        <w:rPr>
          <w:lang w:val="fr-FR"/>
        </w:rPr>
        <w:t>aide d</w:t>
      </w:r>
      <w:r w:rsidR="00D07C7C" w:rsidRPr="00D07C7C">
        <w:rPr>
          <w:lang w:val="fr-FR"/>
        </w:rPr>
        <w:t>’</w:t>
      </w:r>
      <w:r w:rsidRPr="00D07C7C">
        <w:rPr>
          <w:lang w:val="fr-FR"/>
        </w:rPr>
        <w:t>un engin blindé, puis les agents de police enfoncèrent les portes d</w:t>
      </w:r>
      <w:r w:rsidR="00D07C7C" w:rsidRPr="00D07C7C">
        <w:rPr>
          <w:lang w:val="fr-FR"/>
        </w:rPr>
        <w:t>’</w:t>
      </w:r>
      <w:r w:rsidRPr="00D07C7C">
        <w:rPr>
          <w:lang w:val="fr-FR"/>
        </w:rPr>
        <w:t>entrée (</w:t>
      </w:r>
      <w:r w:rsidRPr="00D07C7C">
        <w:rPr>
          <w:i/>
          <w:lang w:val="fr-FR"/>
        </w:rPr>
        <w:t>ibidem</w:t>
      </w:r>
      <w:r w:rsidRPr="00D07C7C">
        <w:rPr>
          <w:lang w:val="fr-FR"/>
        </w:rPr>
        <w:t>).</w:t>
      </w:r>
    </w:p>
    <w:bookmarkStart w:id="3" w:name="VIOLENCES_COMMISES_JUGES_AU_FOND"/>
    <w:p w:rsidR="00FE73C2" w:rsidRPr="00D07C7C" w:rsidRDefault="00FE73C2" w:rsidP="00D07C7C">
      <w:pPr>
        <w:pStyle w:val="ECHRPara"/>
        <w:rPr>
          <w:lang w:val="fr-FR" w:eastAsia="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15</w:t>
      </w:r>
      <w:r w:rsidRPr="00D07C7C">
        <w:rPr>
          <w:lang w:val="fr-FR"/>
        </w:rPr>
        <w:fldChar w:fldCharType="end"/>
      </w:r>
      <w:bookmarkEnd w:id="3"/>
      <w:r w:rsidRPr="00D07C7C">
        <w:rPr>
          <w:lang w:val="fr-FR"/>
        </w:rPr>
        <w:t>.  Les agents se répartirent dans les étages du bâtiment, partiellement plongés dans le noir. La plupart d</w:t>
      </w:r>
      <w:r w:rsidR="00D07C7C" w:rsidRPr="00D07C7C">
        <w:rPr>
          <w:lang w:val="fr-FR"/>
        </w:rPr>
        <w:t>’</w:t>
      </w:r>
      <w:r w:rsidRPr="00D07C7C">
        <w:rPr>
          <w:lang w:val="fr-FR"/>
        </w:rPr>
        <w:t>entre eux avaient le visage masqué par un foulard. Ils commencèrent à frapper les occupants à coups de poing, de pied et de matraque, en criant et en menaçant les victimes. Des groupes d</w:t>
      </w:r>
      <w:r w:rsidR="00D07C7C" w:rsidRPr="00D07C7C">
        <w:rPr>
          <w:lang w:val="fr-FR"/>
        </w:rPr>
        <w:t>’</w:t>
      </w:r>
      <w:r w:rsidRPr="00D07C7C">
        <w:rPr>
          <w:lang w:val="fr-FR"/>
        </w:rPr>
        <w:t>agents s</w:t>
      </w:r>
      <w:r w:rsidR="00D07C7C" w:rsidRPr="00D07C7C">
        <w:rPr>
          <w:lang w:val="fr-FR"/>
        </w:rPr>
        <w:t>’</w:t>
      </w:r>
      <w:r w:rsidRPr="00D07C7C">
        <w:rPr>
          <w:lang w:val="fr-FR"/>
        </w:rPr>
        <w:t>acharnèrent même sur certaines personnes qui étaient assises ou allongées par terre. Certains des occupants, réveillés par le bruit de l</w:t>
      </w:r>
      <w:r w:rsidR="00D07C7C" w:rsidRPr="00D07C7C">
        <w:rPr>
          <w:lang w:val="fr-FR"/>
        </w:rPr>
        <w:t>’</w:t>
      </w:r>
      <w:r w:rsidRPr="00D07C7C">
        <w:rPr>
          <w:lang w:val="fr-FR"/>
        </w:rPr>
        <w:t>assaut, furent frappés alors qu</w:t>
      </w:r>
      <w:r w:rsidR="00D07C7C" w:rsidRPr="00D07C7C">
        <w:rPr>
          <w:lang w:val="fr-FR"/>
        </w:rPr>
        <w:t>’</w:t>
      </w:r>
      <w:r w:rsidRPr="00D07C7C">
        <w:rPr>
          <w:lang w:val="fr-FR"/>
        </w:rPr>
        <w:t>ils se trouvaient encore dans leur sac de couchage ; d</w:t>
      </w:r>
      <w:r w:rsidR="00D07C7C" w:rsidRPr="00D07C7C">
        <w:rPr>
          <w:lang w:val="fr-FR"/>
        </w:rPr>
        <w:t>’</w:t>
      </w:r>
      <w:r w:rsidRPr="00D07C7C">
        <w:rPr>
          <w:lang w:val="fr-FR"/>
        </w:rPr>
        <w:t>autres le furent alors qu</w:t>
      </w:r>
      <w:r w:rsidR="00D07C7C" w:rsidRPr="00D07C7C">
        <w:rPr>
          <w:lang w:val="fr-FR"/>
        </w:rPr>
        <w:t>’</w:t>
      </w:r>
      <w:r w:rsidRPr="00D07C7C">
        <w:rPr>
          <w:lang w:val="fr-FR"/>
        </w:rPr>
        <w:t>ils se tenaient les bras levés en signe de capitulation ou qu</w:t>
      </w:r>
      <w:r w:rsidR="00D07C7C" w:rsidRPr="00D07C7C">
        <w:rPr>
          <w:lang w:val="fr-FR"/>
        </w:rPr>
        <w:t>’</w:t>
      </w:r>
      <w:r w:rsidRPr="00D07C7C">
        <w:rPr>
          <w:lang w:val="fr-FR"/>
        </w:rPr>
        <w:t>ils montraient leurs papiers d</w:t>
      </w:r>
      <w:r w:rsidR="00D07C7C" w:rsidRPr="00D07C7C">
        <w:rPr>
          <w:lang w:val="fr-FR"/>
        </w:rPr>
        <w:t>’</w:t>
      </w:r>
      <w:r w:rsidRPr="00D07C7C">
        <w:rPr>
          <w:lang w:val="fr-FR"/>
        </w:rPr>
        <w:t>identité. Certains essayèrent de s</w:t>
      </w:r>
      <w:r w:rsidR="00D07C7C" w:rsidRPr="00D07C7C">
        <w:rPr>
          <w:lang w:val="fr-FR"/>
        </w:rPr>
        <w:t>’</w:t>
      </w:r>
      <w:r w:rsidRPr="00D07C7C">
        <w:rPr>
          <w:lang w:val="fr-FR"/>
        </w:rPr>
        <w:t>enfuir et de se cacher dans les toilettes ou dans des débarras du bâtiment, mais ils furent rattrapés, battus, parfois tirés hors de leurs cachettes par les cheveux (jugement de première instance, pp. 263-280, et arrêt d</w:t>
      </w:r>
      <w:r w:rsidR="00D07C7C" w:rsidRPr="00D07C7C">
        <w:rPr>
          <w:lang w:val="fr-FR"/>
        </w:rPr>
        <w:t>’</w:t>
      </w:r>
      <w:r w:rsidRPr="00D07C7C">
        <w:rPr>
          <w:lang w:val="fr-FR"/>
        </w:rPr>
        <w:t>appel, pp. 205-212).</w:t>
      </w:r>
    </w:p>
    <w:p w:rsidR="00FE73C2" w:rsidRPr="00D07C7C" w:rsidRDefault="00FE73C2" w:rsidP="00D07C7C">
      <w:pPr>
        <w:pStyle w:val="ECHRPara"/>
        <w:rPr>
          <w:lang w:val="fr-FR"/>
        </w:rPr>
      </w:pPr>
      <w:r w:rsidRPr="00D07C7C">
        <w:rPr>
          <w:lang w:val="fr-FR" w:eastAsia="fr-FR"/>
        </w:rPr>
        <w:fldChar w:fldCharType="begin"/>
      </w:r>
      <w:r w:rsidRPr="00D07C7C">
        <w:rPr>
          <w:lang w:val="fr-FR" w:eastAsia="fr-FR"/>
        </w:rPr>
        <w:instrText xml:space="preserve"> SEQ level0 \*arabic </w:instrText>
      </w:r>
      <w:r w:rsidRPr="00D07C7C">
        <w:rPr>
          <w:lang w:val="fr-FR" w:eastAsia="fr-FR"/>
        </w:rPr>
        <w:fldChar w:fldCharType="separate"/>
      </w:r>
      <w:r w:rsidR="00D07C7C" w:rsidRPr="00D07C7C">
        <w:rPr>
          <w:noProof/>
          <w:lang w:val="fr-FR" w:eastAsia="fr-FR"/>
        </w:rPr>
        <w:t>16</w:t>
      </w:r>
      <w:r w:rsidRPr="00D07C7C">
        <w:rPr>
          <w:lang w:val="fr-FR" w:eastAsia="fr-FR"/>
        </w:rPr>
        <w:fldChar w:fldCharType="end"/>
      </w:r>
      <w:r w:rsidRPr="00D07C7C">
        <w:rPr>
          <w:lang w:val="fr-FR" w:eastAsia="fr-FR"/>
        </w:rPr>
        <w:t>.  Les tribunaux internes ont établi avec exactitude, au-delà de tout doute raisonnable, les mauvais traitements dont avaient fait l</w:t>
      </w:r>
      <w:r w:rsidR="00D07C7C" w:rsidRPr="00D07C7C">
        <w:rPr>
          <w:lang w:val="fr-FR" w:eastAsia="fr-FR"/>
        </w:rPr>
        <w:t>’</w:t>
      </w:r>
      <w:r w:rsidRPr="00D07C7C">
        <w:rPr>
          <w:lang w:val="fr-FR" w:eastAsia="fr-FR"/>
        </w:rPr>
        <w:t>objet les personnes présentes à l</w:t>
      </w:r>
      <w:r w:rsidR="00D07C7C" w:rsidRPr="00D07C7C">
        <w:rPr>
          <w:lang w:val="fr-FR" w:eastAsia="fr-FR"/>
        </w:rPr>
        <w:t>’</w:t>
      </w:r>
      <w:r w:rsidRPr="00D07C7C">
        <w:rPr>
          <w:lang w:val="fr-FR" w:eastAsia="fr-FR"/>
        </w:rPr>
        <w:t>intérieur de l</w:t>
      </w:r>
      <w:r w:rsidR="00D07C7C" w:rsidRPr="00D07C7C">
        <w:rPr>
          <w:lang w:val="fr-FR" w:eastAsia="fr-FR"/>
        </w:rPr>
        <w:t>’</w:t>
      </w:r>
      <w:r w:rsidRPr="00D07C7C">
        <w:rPr>
          <w:lang w:val="fr-FR" w:eastAsia="fr-FR"/>
        </w:rPr>
        <w:t>école Diaz-Pertini. Les témoignages des victimes ont été confirmés par les dépositions des membres des forces de l</w:t>
      </w:r>
      <w:r w:rsidR="00D07C7C" w:rsidRPr="00D07C7C">
        <w:rPr>
          <w:lang w:val="fr-FR" w:eastAsia="fr-FR"/>
        </w:rPr>
        <w:t>’</w:t>
      </w:r>
      <w:r w:rsidRPr="00D07C7C">
        <w:rPr>
          <w:lang w:val="fr-FR" w:eastAsia="fr-FR"/>
        </w:rPr>
        <w:t>ordre et de l</w:t>
      </w:r>
      <w:r w:rsidR="00D07C7C" w:rsidRPr="00D07C7C">
        <w:rPr>
          <w:lang w:val="fr-FR" w:eastAsia="fr-FR"/>
        </w:rPr>
        <w:t>’</w:t>
      </w:r>
      <w:r w:rsidRPr="00D07C7C">
        <w:rPr>
          <w:lang w:val="fr-FR" w:eastAsia="fr-FR"/>
        </w:rPr>
        <w:t>administration publique, les reconnaissances partielles des faits par les accusés, les enregistrements audiovisuels ainsi que par les documents à disposition des magistrats, notamment les rapports médicaux et les expertises judiciaires. À partir de cette multitude d</w:t>
      </w:r>
      <w:r w:rsidR="00D07C7C" w:rsidRPr="00D07C7C">
        <w:rPr>
          <w:lang w:val="fr-FR" w:eastAsia="fr-FR"/>
        </w:rPr>
        <w:t>’</w:t>
      </w:r>
      <w:r w:rsidRPr="00D07C7C">
        <w:rPr>
          <w:lang w:val="fr-FR" w:eastAsia="fr-FR"/>
        </w:rPr>
        <w:t>informations, il est possible de décrire les épisodes de violence dont les requérants firent l</w:t>
      </w:r>
      <w:r w:rsidR="00D07C7C" w:rsidRPr="00D07C7C">
        <w:rPr>
          <w:lang w:val="fr-FR" w:eastAsia="fr-FR"/>
        </w:rPr>
        <w:t>’</w:t>
      </w:r>
      <w:r w:rsidRPr="00D07C7C">
        <w:rPr>
          <w:lang w:val="fr-FR" w:eastAsia="fr-FR"/>
        </w:rPr>
        <w:t>objet</w:t>
      </w:r>
      <w:r w:rsidRPr="00D07C7C">
        <w:rPr>
          <w:lang w:val="fr-FR"/>
        </w:rPr>
        <w:t> :</w:t>
      </w:r>
    </w:p>
    <w:p w:rsidR="00FE73C2" w:rsidRPr="00D07C7C" w:rsidRDefault="00065A11" w:rsidP="00D07C7C">
      <w:pPr>
        <w:pStyle w:val="ECHRHeading3"/>
        <w:rPr>
          <w:lang w:val="fr-FR"/>
        </w:rPr>
      </w:pPr>
      <w:r w:rsidRPr="00D07C7C">
        <w:rPr>
          <w:lang w:val="fr-FR"/>
        </w:rPr>
        <w:lastRenderedPageBreak/>
        <w:t>1</w:t>
      </w:r>
      <w:r w:rsidR="00B35F5E" w:rsidRPr="00D07C7C">
        <w:rPr>
          <w:lang w:val="fr-FR"/>
        </w:rPr>
        <w:t>.</w:t>
      </w:r>
      <w:r w:rsidR="00FE73C2" w:rsidRPr="00D07C7C">
        <w:rPr>
          <w:lang w:val="fr-FR"/>
        </w:rPr>
        <w:t>  Requête n</w:t>
      </w:r>
      <w:r w:rsidR="00FE73C2" w:rsidRPr="00D07C7C">
        <w:rPr>
          <w:vertAlign w:val="superscript"/>
          <w:lang w:val="fr-FR"/>
        </w:rPr>
        <w:t>o</w:t>
      </w:r>
      <w:r w:rsidR="00FE73C2" w:rsidRPr="00D07C7C">
        <w:rPr>
          <w:lang w:val="fr-FR"/>
        </w:rPr>
        <w:t xml:space="preserve"> 12131/13</w:t>
      </w:r>
    </w:p>
    <w:bookmarkStart w:id="4" w:name="DEBUT_RECITS_INDIVIDUELS"/>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17</w:t>
      </w:r>
      <w:r w:rsidRPr="00D07C7C">
        <w:rPr>
          <w:lang w:val="fr-FR"/>
        </w:rPr>
        <w:fldChar w:fldCharType="end"/>
      </w:r>
      <w:bookmarkEnd w:id="4"/>
      <w:r w:rsidRPr="00D07C7C">
        <w:rPr>
          <w:lang w:val="fr-FR"/>
        </w:rPr>
        <w:t>.  M</w:t>
      </w:r>
      <w:r w:rsidRPr="00D07C7C">
        <w:rPr>
          <w:vertAlign w:val="superscript"/>
          <w:lang w:val="fr-FR"/>
        </w:rPr>
        <w:t xml:space="preserve">me </w:t>
      </w:r>
      <w:r w:rsidRPr="00D07C7C">
        <w:rPr>
          <w:lang w:val="fr-FR"/>
        </w:rPr>
        <w:t>S. Bartesaghi Gallo fut battue avec une matraque, à la tête, aux jambes, à l</w:t>
      </w:r>
      <w:r w:rsidR="00D07C7C" w:rsidRPr="00D07C7C">
        <w:rPr>
          <w:lang w:val="fr-FR"/>
        </w:rPr>
        <w:t>’</w:t>
      </w:r>
      <w:r w:rsidRPr="00D07C7C">
        <w:rPr>
          <w:lang w:val="fr-FR"/>
        </w:rPr>
        <w:t>épaule gauche et au bras gauche. Le rapport médical indiquait qu</w:t>
      </w:r>
      <w:r w:rsidR="00D07C7C" w:rsidRPr="00D07C7C">
        <w:rPr>
          <w:lang w:val="fr-FR"/>
        </w:rPr>
        <w:t>’</w:t>
      </w:r>
      <w:r w:rsidRPr="00D07C7C">
        <w:rPr>
          <w:lang w:val="fr-FR"/>
        </w:rPr>
        <w:t>elle présentait un traumatisme crânien avec lacération et une contusion à la jambe droite.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18</w:t>
      </w:r>
      <w:r w:rsidRPr="00D07C7C">
        <w:rPr>
          <w:lang w:val="fr-FR"/>
        </w:rPr>
        <w:fldChar w:fldCharType="end"/>
      </w:r>
      <w:r w:rsidRPr="00D07C7C">
        <w:rPr>
          <w:lang w:val="fr-FR"/>
        </w:rPr>
        <w:t>.  M</w:t>
      </w:r>
      <w:r w:rsidRPr="00D07C7C">
        <w:rPr>
          <w:vertAlign w:val="superscript"/>
          <w:lang w:val="fr-FR"/>
        </w:rPr>
        <w:t xml:space="preserve">me </w:t>
      </w:r>
      <w:r w:rsidRPr="00D07C7C">
        <w:rPr>
          <w:lang w:val="fr-FR"/>
        </w:rPr>
        <w:t>N.A. Doherty fut rouée de coups de matraque. Le rapport médical faisait état d</w:t>
      </w:r>
      <w:r w:rsidR="00D07C7C" w:rsidRPr="00D07C7C">
        <w:rPr>
          <w:lang w:val="fr-FR"/>
        </w:rPr>
        <w:t>’</w:t>
      </w:r>
      <w:r w:rsidRPr="00D07C7C">
        <w:rPr>
          <w:lang w:val="fr-FR"/>
        </w:rPr>
        <w:t>un traumatisme crânien, d</w:t>
      </w:r>
      <w:r w:rsidR="00D07C7C" w:rsidRPr="00D07C7C">
        <w:rPr>
          <w:lang w:val="fr-FR"/>
        </w:rPr>
        <w:t>’</w:t>
      </w:r>
      <w:r w:rsidRPr="00D07C7C">
        <w:rPr>
          <w:lang w:val="fr-FR"/>
        </w:rPr>
        <w:t>une fracture distale du radius droit, d</w:t>
      </w:r>
      <w:r w:rsidR="00D07C7C" w:rsidRPr="00D07C7C">
        <w:rPr>
          <w:lang w:val="fr-FR"/>
        </w:rPr>
        <w:t>’</w:t>
      </w:r>
      <w:r w:rsidRPr="00D07C7C">
        <w:rPr>
          <w:lang w:val="fr-FR"/>
        </w:rPr>
        <w:t>un hématome dans la région fessière, ainsi que de contusions au visage et au bras droit. Il constatait une incapacité totale de travail de quarante jours.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19</w:t>
      </w:r>
      <w:r w:rsidRPr="00D07C7C">
        <w:rPr>
          <w:lang w:val="fr-FR"/>
        </w:rPr>
        <w:fldChar w:fldCharType="end"/>
      </w:r>
      <w:r w:rsidRPr="00D07C7C">
        <w:rPr>
          <w:lang w:val="fr-FR"/>
        </w:rPr>
        <w:t>.  M. J.F. Galloway fut battu à coups de matraque. Le rapport médical indiquait qu</w:t>
      </w:r>
      <w:r w:rsidR="00D07C7C" w:rsidRPr="00D07C7C">
        <w:rPr>
          <w:lang w:val="fr-FR"/>
        </w:rPr>
        <w:t>’</w:t>
      </w:r>
      <w:r w:rsidRPr="00D07C7C">
        <w:rPr>
          <w:lang w:val="fr-FR"/>
        </w:rPr>
        <w:t>il présentait un traumatisme crânien, des contusions multiples, en particulier sur la partie gauche du thorax, mais également dans la région rétroauriculaire gauche, sur le dos et dans la région lombaire, et des excoriations au genou gauche.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20</w:t>
      </w:r>
      <w:r w:rsidRPr="00D07C7C">
        <w:rPr>
          <w:lang w:val="fr-FR"/>
        </w:rPr>
        <w:fldChar w:fldCharType="end"/>
      </w:r>
      <w:r w:rsidRPr="00D07C7C">
        <w:rPr>
          <w:lang w:val="fr-FR"/>
        </w:rPr>
        <w:t>.  M. R.R. Moth reçut des coups de matraque et des coups de pied des agents des forces de l</w:t>
      </w:r>
      <w:r w:rsidR="00D07C7C" w:rsidRPr="00D07C7C">
        <w:rPr>
          <w:lang w:val="fr-FR"/>
        </w:rPr>
        <w:t>’</w:t>
      </w:r>
      <w:r w:rsidRPr="00D07C7C">
        <w:rPr>
          <w:lang w:val="fr-FR"/>
        </w:rPr>
        <w:t>ordre qui lui causèrent des blessures au cuir chevelu et à la jambe droite ainsi qu</w:t>
      </w:r>
      <w:r w:rsidR="00D07C7C" w:rsidRPr="00D07C7C">
        <w:rPr>
          <w:lang w:val="fr-FR"/>
        </w:rPr>
        <w:t>’</w:t>
      </w:r>
      <w:r w:rsidRPr="00D07C7C">
        <w:rPr>
          <w:lang w:val="fr-FR"/>
        </w:rPr>
        <w:t>un traumatisme crânien.</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21</w:t>
      </w:r>
      <w:r w:rsidRPr="00D07C7C">
        <w:rPr>
          <w:lang w:val="fr-FR"/>
        </w:rPr>
        <w:fldChar w:fldCharType="end"/>
      </w:r>
      <w:r w:rsidRPr="00D07C7C">
        <w:rPr>
          <w:lang w:val="fr-FR"/>
        </w:rPr>
        <w:t>.  M. A. Nathrath subit des contusions au bras droit et à la hanche droite.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22</w:t>
      </w:r>
      <w:r w:rsidRPr="00D07C7C">
        <w:rPr>
          <w:lang w:val="fr-FR"/>
        </w:rPr>
        <w:fldChar w:fldCharType="end"/>
      </w:r>
      <w:r w:rsidRPr="00D07C7C">
        <w:rPr>
          <w:lang w:val="fr-FR"/>
        </w:rPr>
        <w:t>.  M</w:t>
      </w:r>
      <w:r w:rsidRPr="00D07C7C">
        <w:rPr>
          <w:vertAlign w:val="superscript"/>
          <w:lang w:val="fr-FR"/>
        </w:rPr>
        <w:t xml:space="preserve">me </w:t>
      </w:r>
      <w:r w:rsidRPr="00D07C7C">
        <w:rPr>
          <w:lang w:val="fr-FR"/>
        </w:rPr>
        <w:t>A.K. Zeuner fut battue avec une matraque, ce qui lui causa des excoriations aux lèvres et des contusions au bras droit.</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23</w:t>
      </w:r>
      <w:r w:rsidRPr="00D07C7C">
        <w:rPr>
          <w:lang w:val="fr-FR"/>
        </w:rPr>
        <w:fldChar w:fldCharType="end"/>
      </w:r>
      <w:r w:rsidRPr="00D07C7C">
        <w:rPr>
          <w:lang w:val="fr-FR"/>
        </w:rPr>
        <w:t>.  M</w:t>
      </w:r>
      <w:r w:rsidRPr="00D07C7C">
        <w:rPr>
          <w:vertAlign w:val="superscript"/>
          <w:lang w:val="fr-FR"/>
        </w:rPr>
        <w:t>me</w:t>
      </w:r>
      <w:r w:rsidRPr="00D07C7C">
        <w:rPr>
          <w:lang w:val="fr-FR"/>
        </w:rPr>
        <w:t xml:space="preserve"> T. Treiber essaya sans succès, lors de l</w:t>
      </w:r>
      <w:r w:rsidR="00D07C7C" w:rsidRPr="00D07C7C">
        <w:rPr>
          <w:lang w:val="fr-FR"/>
        </w:rPr>
        <w:t>’</w:t>
      </w:r>
      <w:r w:rsidRPr="00D07C7C">
        <w:rPr>
          <w:lang w:val="fr-FR"/>
        </w:rPr>
        <w:t>irruption de la police, de s</w:t>
      </w:r>
      <w:r w:rsidR="00D07C7C" w:rsidRPr="00D07C7C">
        <w:rPr>
          <w:lang w:val="fr-FR"/>
        </w:rPr>
        <w:t>’</w:t>
      </w:r>
      <w:r w:rsidRPr="00D07C7C">
        <w:rPr>
          <w:lang w:val="fr-FR"/>
        </w:rPr>
        <w:t>enfuir par une fenêtre du deuxième étage en montant sur un échafaudage. Lorsqu</w:t>
      </w:r>
      <w:r w:rsidR="00D07C7C" w:rsidRPr="00D07C7C">
        <w:rPr>
          <w:lang w:val="fr-FR"/>
        </w:rPr>
        <w:t>’</w:t>
      </w:r>
      <w:r w:rsidRPr="00D07C7C">
        <w:rPr>
          <w:lang w:val="fr-FR"/>
        </w:rPr>
        <w:t>elle fut rentrée dans l</w:t>
      </w:r>
      <w:r w:rsidR="00D07C7C" w:rsidRPr="00D07C7C">
        <w:rPr>
          <w:lang w:val="fr-FR"/>
        </w:rPr>
        <w:t>’</w:t>
      </w:r>
      <w:r w:rsidRPr="00D07C7C">
        <w:rPr>
          <w:lang w:val="fr-FR"/>
        </w:rPr>
        <w:t>école, les policiers l</w:t>
      </w:r>
      <w:r w:rsidR="00D07C7C" w:rsidRPr="00D07C7C">
        <w:rPr>
          <w:lang w:val="fr-FR"/>
        </w:rPr>
        <w:t>’</w:t>
      </w:r>
      <w:r w:rsidRPr="00D07C7C">
        <w:rPr>
          <w:lang w:val="fr-FR"/>
        </w:rPr>
        <w:t>obligèrent à s</w:t>
      </w:r>
      <w:r w:rsidR="00D07C7C" w:rsidRPr="00D07C7C">
        <w:rPr>
          <w:lang w:val="fr-FR"/>
        </w:rPr>
        <w:t>’</w:t>
      </w:r>
      <w:r w:rsidRPr="00D07C7C">
        <w:rPr>
          <w:lang w:val="fr-FR"/>
        </w:rPr>
        <w:t>asseoir et la rouèrent de coups. Ils la conduisirent ensuite dans le gymnase de l</w:t>
      </w:r>
      <w:r w:rsidR="00D07C7C" w:rsidRPr="00D07C7C">
        <w:rPr>
          <w:lang w:val="fr-FR"/>
        </w:rPr>
        <w:t>’</w:t>
      </w:r>
      <w:r w:rsidRPr="00D07C7C">
        <w:rPr>
          <w:lang w:val="fr-FR"/>
        </w:rPr>
        <w:t>école où elle vit de nombreux blessés. Un policier lui ordonna de se mettre à genoux, de courber la tête et de se taire. Elle allègue souffrir de séquelles psychologiques en raison de cet épisode et avoir dû entreprendre une thérapie.</w:t>
      </w:r>
    </w:p>
    <w:p w:rsidR="00FE73C2" w:rsidRPr="00D07C7C" w:rsidRDefault="00065A11" w:rsidP="00D07C7C">
      <w:pPr>
        <w:pStyle w:val="ECHRHeading3"/>
        <w:rPr>
          <w:lang w:val="fr-FR"/>
        </w:rPr>
      </w:pPr>
      <w:r w:rsidRPr="00D07C7C">
        <w:rPr>
          <w:lang w:val="fr-FR"/>
        </w:rPr>
        <w:t>2</w:t>
      </w:r>
      <w:r w:rsidR="00B35F5E" w:rsidRPr="00D07C7C">
        <w:rPr>
          <w:lang w:val="fr-FR"/>
        </w:rPr>
        <w:t>.</w:t>
      </w:r>
      <w:r w:rsidR="00FE73C2" w:rsidRPr="00D07C7C">
        <w:rPr>
          <w:lang w:val="fr-FR"/>
        </w:rPr>
        <w:t>  Requête n</w:t>
      </w:r>
      <w:r w:rsidR="00FE73C2" w:rsidRPr="00D07C7C">
        <w:rPr>
          <w:vertAlign w:val="superscript"/>
          <w:lang w:val="fr-FR"/>
        </w:rPr>
        <w:t>o</w:t>
      </w:r>
      <w:r w:rsidR="00FE73C2" w:rsidRPr="00D07C7C">
        <w:rPr>
          <w:lang w:val="fr-FR"/>
        </w:rPr>
        <w:t xml:space="preserve"> 43390/13</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24</w:t>
      </w:r>
      <w:r w:rsidRPr="00D07C7C">
        <w:rPr>
          <w:lang w:val="fr-FR"/>
        </w:rPr>
        <w:fldChar w:fldCharType="end"/>
      </w:r>
      <w:r w:rsidRPr="00D07C7C">
        <w:rPr>
          <w:lang w:val="fr-FR"/>
        </w:rPr>
        <w:t>.  M. D.T. Albrecht se trouvait au premier étage de l</w:t>
      </w:r>
      <w:r w:rsidR="00D07C7C" w:rsidRPr="00D07C7C">
        <w:rPr>
          <w:lang w:val="fr-FR"/>
        </w:rPr>
        <w:t>’</w:t>
      </w:r>
      <w:r w:rsidRPr="00D07C7C">
        <w:rPr>
          <w:lang w:val="fr-FR"/>
        </w:rPr>
        <w:t xml:space="preserve">école lorsque la police y fit irruption. Il fut battu avec une matraque de type </w:t>
      </w:r>
      <w:r w:rsidRPr="00D07C7C">
        <w:rPr>
          <w:i/>
          <w:lang w:val="fr-FR"/>
        </w:rPr>
        <w:t>tonfa</w:t>
      </w:r>
      <w:r w:rsidRPr="00D07C7C">
        <w:rPr>
          <w:lang w:val="fr-FR"/>
        </w:rPr>
        <w:t xml:space="preserve"> et reçut également des coups de poing et de pied. Le rapport médical faisait état d</w:t>
      </w:r>
      <w:r w:rsidR="00D07C7C" w:rsidRPr="00D07C7C">
        <w:rPr>
          <w:lang w:val="fr-FR"/>
        </w:rPr>
        <w:t>’</w:t>
      </w:r>
      <w:r w:rsidRPr="00D07C7C">
        <w:rPr>
          <w:lang w:val="fr-FR"/>
        </w:rPr>
        <w:t>un traumatisme crânien avec formation d</w:t>
      </w:r>
      <w:r w:rsidR="00D07C7C" w:rsidRPr="00D07C7C">
        <w:rPr>
          <w:lang w:val="fr-FR"/>
        </w:rPr>
        <w:t>’</w:t>
      </w:r>
      <w:r w:rsidRPr="00D07C7C">
        <w:rPr>
          <w:lang w:val="fr-FR"/>
        </w:rPr>
        <w:t>un hématome épidural, ainsi que de nombreuses blessures, notamment dans la région pariétale et occipitale gauche, dans la région coronarienne droite et au thorax. Conduit à l</w:t>
      </w:r>
      <w:r w:rsidR="00D07C7C" w:rsidRPr="00D07C7C">
        <w:rPr>
          <w:lang w:val="fr-FR"/>
        </w:rPr>
        <w:t>’</w:t>
      </w:r>
      <w:r w:rsidRPr="00D07C7C">
        <w:rPr>
          <w:lang w:val="fr-FR"/>
        </w:rPr>
        <w:t>hôpital San Martino de Gênes, il subit une opération d</w:t>
      </w:r>
      <w:r w:rsidR="00D07C7C" w:rsidRPr="00D07C7C">
        <w:rPr>
          <w:lang w:val="fr-FR"/>
        </w:rPr>
        <w:t>’</w:t>
      </w:r>
      <w:r w:rsidRPr="00D07C7C">
        <w:rPr>
          <w:lang w:val="fr-FR"/>
        </w:rPr>
        <w:t>urgence en vue de l</w:t>
      </w:r>
      <w:r w:rsidR="00D07C7C" w:rsidRPr="00D07C7C">
        <w:rPr>
          <w:lang w:val="fr-FR"/>
        </w:rPr>
        <w:t>’</w:t>
      </w:r>
      <w:r w:rsidRPr="00D07C7C">
        <w:rPr>
          <w:lang w:val="fr-FR"/>
        </w:rPr>
        <w:t>aspiration de l</w:t>
      </w:r>
      <w:r w:rsidR="00D07C7C" w:rsidRPr="00D07C7C">
        <w:rPr>
          <w:lang w:val="fr-FR"/>
        </w:rPr>
        <w:t>’</w:t>
      </w:r>
      <w:r w:rsidRPr="00D07C7C">
        <w:rPr>
          <w:lang w:val="fr-FR"/>
        </w:rPr>
        <w:t>hématome intracrânien. Placé en réanimation le dimanche 22 juillet, il fut surveillé par des agents de police. Il quitta l</w:t>
      </w:r>
      <w:r w:rsidR="00D07C7C" w:rsidRPr="00D07C7C">
        <w:rPr>
          <w:lang w:val="fr-FR"/>
        </w:rPr>
        <w:t>’</w:t>
      </w:r>
      <w:r w:rsidRPr="00D07C7C">
        <w:rPr>
          <w:lang w:val="fr-FR"/>
        </w:rPr>
        <w:t>hôpital le 1</w:t>
      </w:r>
      <w:r w:rsidRPr="00D07C7C">
        <w:rPr>
          <w:vertAlign w:val="superscript"/>
          <w:lang w:val="fr-FR"/>
        </w:rPr>
        <w:t>er</w:t>
      </w:r>
      <w:r w:rsidRPr="00D07C7C">
        <w:rPr>
          <w:lang w:val="fr-FR"/>
        </w:rPr>
        <w:t> août.</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25</w:t>
      </w:r>
      <w:r w:rsidRPr="00D07C7C">
        <w:rPr>
          <w:lang w:val="fr-FR"/>
        </w:rPr>
        <w:fldChar w:fldCharType="end"/>
      </w:r>
      <w:r w:rsidRPr="00D07C7C">
        <w:rPr>
          <w:lang w:val="fr-FR"/>
        </w:rPr>
        <w:t>.  M</w:t>
      </w:r>
      <w:r w:rsidRPr="00D07C7C">
        <w:rPr>
          <w:vertAlign w:val="superscript"/>
          <w:lang w:val="fr-FR"/>
        </w:rPr>
        <w:t xml:space="preserve">me </w:t>
      </w:r>
      <w:r w:rsidRPr="00D07C7C">
        <w:rPr>
          <w:lang w:val="fr-FR"/>
        </w:rPr>
        <w:t>R. Allueva Fortea fut battue avec une matraque, et du mobilier fut jeté sur elle. Ces violences lui causèrent un hématome à la cuisse gauche, une contusion à l</w:t>
      </w:r>
      <w:r w:rsidR="00D07C7C" w:rsidRPr="00D07C7C">
        <w:rPr>
          <w:lang w:val="fr-FR"/>
        </w:rPr>
        <w:t>’</w:t>
      </w:r>
      <w:r w:rsidRPr="00D07C7C">
        <w:rPr>
          <w:lang w:val="fr-FR"/>
        </w:rPr>
        <w:t>os pyramidal, ainsi que des blessures à l</w:t>
      </w:r>
      <w:r w:rsidR="00D07C7C" w:rsidRPr="00D07C7C">
        <w:rPr>
          <w:lang w:val="fr-FR"/>
        </w:rPr>
        <w:t>’</w:t>
      </w:r>
      <w:r w:rsidRPr="00D07C7C">
        <w:rPr>
          <w:lang w:val="fr-FR"/>
        </w:rPr>
        <w:t>épaule gauche, au genou droit et au coude droit.</w:t>
      </w:r>
    </w:p>
    <w:p w:rsidR="00FE73C2" w:rsidRPr="00D07C7C" w:rsidRDefault="00FE73C2" w:rsidP="00D07C7C">
      <w:pPr>
        <w:pStyle w:val="ECHRPara"/>
        <w:rPr>
          <w:lang w:val="fr-FR"/>
        </w:rPr>
      </w:pPr>
      <w:r w:rsidRPr="00D07C7C">
        <w:rPr>
          <w:lang w:val="fr-FR"/>
        </w:rPr>
        <w:lastRenderedPageBreak/>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26</w:t>
      </w:r>
      <w:r w:rsidRPr="00D07C7C">
        <w:rPr>
          <w:lang w:val="fr-FR"/>
        </w:rPr>
        <w:fldChar w:fldCharType="end"/>
      </w:r>
      <w:r w:rsidRPr="00D07C7C">
        <w:rPr>
          <w:lang w:val="fr-FR"/>
        </w:rPr>
        <w:t>.  M. A.R. Balbas fut frappé à coups de matraque, à coups</w:t>
      </w:r>
      <w:r w:rsidRPr="00D07C7C" w:rsidDel="007D4CF6">
        <w:rPr>
          <w:lang w:val="fr-FR"/>
        </w:rPr>
        <w:t xml:space="preserve"> </w:t>
      </w:r>
      <w:r w:rsidRPr="00D07C7C">
        <w:rPr>
          <w:lang w:val="fr-FR"/>
        </w:rPr>
        <w:t>de pied et à coups de poing. Une chaise fut également jetée sur lui. Le rapport médical mentionnait plusieurs contusions, notamment au bras, à l</w:t>
      </w:r>
      <w:r w:rsidR="00D07C7C" w:rsidRPr="00D07C7C">
        <w:rPr>
          <w:lang w:val="fr-FR"/>
        </w:rPr>
        <w:t>’</w:t>
      </w:r>
      <w:r w:rsidRPr="00D07C7C">
        <w:rPr>
          <w:lang w:val="fr-FR"/>
        </w:rPr>
        <w:t>épaule, à la cuisse gauche et à la cheville gauche, ainsi que dans la région dorsale.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27</w:t>
      </w:r>
      <w:r w:rsidRPr="00D07C7C">
        <w:rPr>
          <w:lang w:val="fr-FR"/>
        </w:rPr>
        <w:fldChar w:fldCharType="end"/>
      </w:r>
      <w:r w:rsidRPr="00D07C7C">
        <w:rPr>
          <w:lang w:val="fr-FR"/>
        </w:rPr>
        <w:t>.  M. M. Bertola fut roué de coups de matraque qui lui causèrent un traumatisme crânien, des blessures au cuir chevelu et au front. Le rapport médical mentionnait également l</w:t>
      </w:r>
      <w:r w:rsidR="00D07C7C" w:rsidRPr="00D07C7C">
        <w:rPr>
          <w:lang w:val="fr-FR"/>
        </w:rPr>
        <w:t>’</w:t>
      </w:r>
      <w:r w:rsidRPr="00D07C7C">
        <w:rPr>
          <w:lang w:val="fr-FR"/>
        </w:rPr>
        <w:t>existence d</w:t>
      </w:r>
      <w:r w:rsidR="00D07C7C" w:rsidRPr="00D07C7C">
        <w:rPr>
          <w:lang w:val="fr-FR"/>
        </w:rPr>
        <w:t>’</w:t>
      </w:r>
      <w:r w:rsidRPr="00D07C7C">
        <w:rPr>
          <w:lang w:val="fr-FR"/>
        </w:rPr>
        <w:t>une dorsalgie.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28</w:t>
      </w:r>
      <w:r w:rsidRPr="00D07C7C">
        <w:rPr>
          <w:lang w:val="fr-FR"/>
        </w:rPr>
        <w:fldChar w:fldCharType="end"/>
      </w:r>
      <w:r w:rsidRPr="00D07C7C">
        <w:rPr>
          <w:lang w:val="fr-FR"/>
        </w:rPr>
        <w:t>.  M</w:t>
      </w:r>
      <w:r w:rsidRPr="00D07C7C">
        <w:rPr>
          <w:vertAlign w:val="superscript"/>
          <w:lang w:val="fr-FR"/>
        </w:rPr>
        <w:t>me</w:t>
      </w:r>
      <w:r w:rsidRPr="00D07C7C">
        <w:rPr>
          <w:lang w:val="fr-FR"/>
        </w:rPr>
        <w:t xml:space="preserve"> V. Bruschi fut battue avec une matraque dans le gymnase de l</w:t>
      </w:r>
      <w:r w:rsidR="00D07C7C" w:rsidRPr="00D07C7C">
        <w:rPr>
          <w:lang w:val="fr-FR"/>
        </w:rPr>
        <w:t>’</w:t>
      </w:r>
      <w:r w:rsidRPr="00D07C7C">
        <w:rPr>
          <w:lang w:val="fr-FR"/>
        </w:rPr>
        <w:t>école, ce qui lui causa des contusions sur tout le corps.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29</w:t>
      </w:r>
      <w:r w:rsidRPr="00D07C7C">
        <w:rPr>
          <w:lang w:val="fr-FR"/>
        </w:rPr>
        <w:fldChar w:fldCharType="end"/>
      </w:r>
      <w:r w:rsidRPr="00D07C7C">
        <w:rPr>
          <w:lang w:val="fr-FR"/>
        </w:rPr>
        <w:t xml:space="preserve">.  M. M. Chmielewski fut battu avec une matraque de type </w:t>
      </w:r>
      <w:r w:rsidRPr="00D07C7C">
        <w:rPr>
          <w:i/>
          <w:lang w:val="fr-FR"/>
        </w:rPr>
        <w:t>tonfa</w:t>
      </w:r>
      <w:r w:rsidRPr="00D07C7C">
        <w:rPr>
          <w:lang w:val="fr-FR"/>
        </w:rPr>
        <w:t xml:space="preserve"> et reçut des coups de pied et des coups de poing. Selon le rapport médical, il présentait un traumatisme crânien, une blessure au pavillon auriculaire gauche et des contusions sur tout le corps.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30</w:t>
      </w:r>
      <w:r w:rsidRPr="00D07C7C">
        <w:rPr>
          <w:lang w:val="fr-FR"/>
        </w:rPr>
        <w:fldChar w:fldCharType="end"/>
      </w:r>
      <w:r w:rsidRPr="00D07C7C">
        <w:rPr>
          <w:lang w:val="fr-FR"/>
        </w:rPr>
        <w:t>.  M. B. Coelle reçut des coups de matraque sur tout le corps qui lui causèrent une double fracture de la mandibule et du condyle gauches, ainsi qu</w:t>
      </w:r>
      <w:r w:rsidR="00D07C7C" w:rsidRPr="00D07C7C">
        <w:rPr>
          <w:lang w:val="fr-FR"/>
        </w:rPr>
        <w:t>’</w:t>
      </w:r>
      <w:r w:rsidRPr="00D07C7C">
        <w:rPr>
          <w:lang w:val="fr-FR"/>
        </w:rPr>
        <w:t>une fracture de la pommette droite. Il fut hospitalisé du 22 au 30 juillet. Le rapport médical constatait une incapacité totale de travail de quarante jours et un affaiblissement permanent de l</w:t>
      </w:r>
      <w:r w:rsidR="00D07C7C" w:rsidRPr="00D07C7C">
        <w:rPr>
          <w:lang w:val="fr-FR"/>
        </w:rPr>
        <w:t>’</w:t>
      </w:r>
      <w:r w:rsidRPr="00D07C7C">
        <w:rPr>
          <w:lang w:val="fr-FR"/>
        </w:rPr>
        <w:t>organe de la mastication.</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31</w:t>
      </w:r>
      <w:r w:rsidRPr="00D07C7C">
        <w:rPr>
          <w:lang w:val="fr-FR"/>
        </w:rPr>
        <w:fldChar w:fldCharType="end"/>
      </w:r>
      <w:r w:rsidRPr="00D07C7C">
        <w:rPr>
          <w:lang w:val="fr-FR"/>
        </w:rPr>
        <w:t>.  M</w:t>
      </w:r>
      <w:r w:rsidRPr="00D07C7C">
        <w:rPr>
          <w:vertAlign w:val="superscript"/>
          <w:lang w:val="fr-FR"/>
        </w:rPr>
        <w:t>me</w:t>
      </w:r>
      <w:r w:rsidRPr="00D07C7C">
        <w:rPr>
          <w:lang w:val="fr-FR"/>
        </w:rPr>
        <w:t xml:space="preserve"> S. Digenti reçut des coups de matraque sur la tête et sur le dos. Le rapport médical faisait état d</w:t>
      </w:r>
      <w:r w:rsidR="00D07C7C" w:rsidRPr="00D07C7C">
        <w:rPr>
          <w:lang w:val="fr-FR"/>
        </w:rPr>
        <w:t>’</w:t>
      </w:r>
      <w:r w:rsidRPr="00D07C7C">
        <w:rPr>
          <w:lang w:val="fr-FR"/>
        </w:rPr>
        <w:t>hématomes au cou, aux épaules, dans la région dorsale, à la main droite, ainsi que d</w:t>
      </w:r>
      <w:r w:rsidR="00D07C7C" w:rsidRPr="00D07C7C">
        <w:rPr>
          <w:lang w:val="fr-FR"/>
        </w:rPr>
        <w:t>’</w:t>
      </w:r>
      <w:r w:rsidRPr="00D07C7C">
        <w:rPr>
          <w:lang w:val="fr-FR"/>
        </w:rPr>
        <w:t>excoriations à l</w:t>
      </w:r>
      <w:r w:rsidR="00D07C7C" w:rsidRPr="00D07C7C">
        <w:rPr>
          <w:lang w:val="fr-FR"/>
        </w:rPr>
        <w:t>’</w:t>
      </w:r>
      <w:r w:rsidRPr="00D07C7C">
        <w:rPr>
          <w:lang w:val="fr-FR"/>
        </w:rPr>
        <w:t>arcade sourcilière gauche.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32</w:t>
      </w:r>
      <w:r w:rsidRPr="00D07C7C">
        <w:rPr>
          <w:lang w:val="fr-FR"/>
        </w:rPr>
        <w:fldChar w:fldCharType="end"/>
      </w:r>
      <w:r w:rsidRPr="00D07C7C">
        <w:rPr>
          <w:lang w:val="fr-FR"/>
        </w:rPr>
        <w:t>.  M. M. Gieser fut frappé à coups de pied et à coups de matraque qui lui causèrent un traumatisme crânien et de multiples contusions sur tout le corps, notamment dans la région occipitale.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33</w:t>
      </w:r>
      <w:r w:rsidRPr="00D07C7C">
        <w:rPr>
          <w:lang w:val="fr-FR"/>
        </w:rPr>
        <w:fldChar w:fldCharType="end"/>
      </w:r>
      <w:r w:rsidRPr="00D07C7C">
        <w:rPr>
          <w:lang w:val="fr-FR"/>
        </w:rPr>
        <w:t>.  M</w:t>
      </w:r>
      <w:r w:rsidRPr="00D07C7C">
        <w:rPr>
          <w:vertAlign w:val="superscript"/>
          <w:lang w:val="fr-FR"/>
        </w:rPr>
        <w:t>me</w:t>
      </w:r>
      <w:r w:rsidRPr="00D07C7C">
        <w:rPr>
          <w:lang w:val="fr-FR"/>
        </w:rPr>
        <w:t xml:space="preserve"> Y.S. Gol fut rouée de coups de pied et de coups de matraque à la tête, au dos et aux jambes. D</w:t>
      </w:r>
      <w:r w:rsidR="00D07C7C" w:rsidRPr="00D07C7C">
        <w:rPr>
          <w:lang w:val="fr-FR"/>
        </w:rPr>
        <w:t>’</w:t>
      </w:r>
      <w:r w:rsidRPr="00D07C7C">
        <w:rPr>
          <w:lang w:val="fr-FR"/>
        </w:rPr>
        <w:t>après le rapport médical, elle présentait un traumatisme crânien et des contusions sur le côté droit du corps.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34</w:t>
      </w:r>
      <w:r w:rsidRPr="00D07C7C">
        <w:rPr>
          <w:lang w:val="fr-FR"/>
        </w:rPr>
        <w:fldChar w:fldCharType="end"/>
      </w:r>
      <w:r w:rsidRPr="00D07C7C">
        <w:rPr>
          <w:lang w:val="fr-FR"/>
        </w:rPr>
        <w:t>.  M. L. Guadagnucci Pancioli fut battu à coups de matraque. Le rapport médical mentionnait qu</w:t>
      </w:r>
      <w:r w:rsidR="00D07C7C" w:rsidRPr="00D07C7C">
        <w:rPr>
          <w:lang w:val="fr-FR"/>
        </w:rPr>
        <w:t>’</w:t>
      </w:r>
      <w:r w:rsidRPr="00D07C7C">
        <w:rPr>
          <w:lang w:val="fr-FR"/>
        </w:rPr>
        <w:t>il souffrait d</w:t>
      </w:r>
      <w:r w:rsidR="00D07C7C" w:rsidRPr="00D07C7C">
        <w:rPr>
          <w:lang w:val="fr-FR"/>
        </w:rPr>
        <w:t>’</w:t>
      </w:r>
      <w:r w:rsidRPr="00D07C7C">
        <w:rPr>
          <w:lang w:val="fr-FR"/>
        </w:rPr>
        <w:t>une fracture du scaphoïde ainsi que de nombreuses contusions et blessures.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35</w:t>
      </w:r>
      <w:r w:rsidRPr="00D07C7C">
        <w:rPr>
          <w:lang w:val="fr-FR"/>
        </w:rPr>
        <w:fldChar w:fldCharType="end"/>
      </w:r>
      <w:r w:rsidRPr="00D07C7C">
        <w:rPr>
          <w:lang w:val="fr-FR"/>
        </w:rPr>
        <w:t>.  M. J. Hermann fut battu à coups de matraque et à coups de pied, ce qui lui causa un traumatisme crânien, des blessures et des hématomes, en particulier dans la région frontale, aux épaules et au thorax. Il souffrit d</w:t>
      </w:r>
      <w:r w:rsidR="00D07C7C" w:rsidRPr="00D07C7C">
        <w:rPr>
          <w:lang w:val="fr-FR"/>
        </w:rPr>
        <w:t>’</w:t>
      </w:r>
      <w:r w:rsidRPr="00D07C7C">
        <w:rPr>
          <w:lang w:val="fr-FR"/>
        </w:rPr>
        <w:t>une diminution temporaire de l</w:t>
      </w:r>
      <w:r w:rsidR="00D07C7C" w:rsidRPr="00D07C7C">
        <w:rPr>
          <w:lang w:val="fr-FR"/>
        </w:rPr>
        <w:t>’</w:t>
      </w:r>
      <w:r w:rsidRPr="00D07C7C">
        <w:rPr>
          <w:lang w:val="fr-FR"/>
        </w:rPr>
        <w:t>ouïe.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36</w:t>
      </w:r>
      <w:r w:rsidRPr="00D07C7C">
        <w:rPr>
          <w:lang w:val="fr-FR"/>
        </w:rPr>
        <w:fldChar w:fldCharType="end"/>
      </w:r>
      <w:r w:rsidRPr="00D07C7C">
        <w:rPr>
          <w:lang w:val="fr-FR"/>
        </w:rPr>
        <w:t>.  M</w:t>
      </w:r>
      <w:r w:rsidRPr="00D07C7C">
        <w:rPr>
          <w:vertAlign w:val="superscript"/>
          <w:lang w:val="fr-FR"/>
        </w:rPr>
        <w:t>me</w:t>
      </w:r>
      <w:r w:rsidRPr="00D07C7C">
        <w:rPr>
          <w:lang w:val="fr-FR"/>
        </w:rPr>
        <w:t xml:space="preserve"> L. Jaeger fut battue avec une matraque. Un agent de police l</w:t>
      </w:r>
      <w:r w:rsidR="00D07C7C" w:rsidRPr="00D07C7C">
        <w:rPr>
          <w:lang w:val="fr-FR"/>
        </w:rPr>
        <w:t>’</w:t>
      </w:r>
      <w:r w:rsidRPr="00D07C7C">
        <w:rPr>
          <w:lang w:val="fr-FR"/>
        </w:rPr>
        <w:t>obligea à s</w:t>
      </w:r>
      <w:r w:rsidR="00D07C7C" w:rsidRPr="00D07C7C">
        <w:rPr>
          <w:lang w:val="fr-FR"/>
        </w:rPr>
        <w:t>’</w:t>
      </w:r>
      <w:r w:rsidRPr="00D07C7C">
        <w:rPr>
          <w:lang w:val="fr-FR"/>
        </w:rPr>
        <w:t>accroupir au sol puis lui marcha sur les mains. Le rapport médical mentionnait la présence de contusions au bras droit et à l</w:t>
      </w:r>
      <w:r w:rsidR="00D07C7C" w:rsidRPr="00D07C7C">
        <w:rPr>
          <w:lang w:val="fr-FR"/>
        </w:rPr>
        <w:t>’</w:t>
      </w:r>
      <w:r w:rsidRPr="00D07C7C">
        <w:rPr>
          <w:lang w:val="fr-FR"/>
        </w:rPr>
        <w:t>épaule droite.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37</w:t>
      </w:r>
      <w:r w:rsidRPr="00D07C7C">
        <w:rPr>
          <w:lang w:val="fr-FR"/>
        </w:rPr>
        <w:fldChar w:fldCharType="end"/>
      </w:r>
      <w:r w:rsidRPr="00D07C7C">
        <w:rPr>
          <w:lang w:val="fr-FR"/>
        </w:rPr>
        <w:t>.  M. H. Kress fut battu à coups de matraque et à coups de pied. Le rapport médical indiquait qu</w:t>
      </w:r>
      <w:r w:rsidR="00D07C7C" w:rsidRPr="00D07C7C">
        <w:rPr>
          <w:lang w:val="fr-FR"/>
        </w:rPr>
        <w:t>’</w:t>
      </w:r>
      <w:r w:rsidRPr="00D07C7C">
        <w:rPr>
          <w:lang w:val="fr-FR"/>
        </w:rPr>
        <w:t>il présentait un traumatisme crânien, une blessure au nez et une à la lèvre supérieure, un traumatisme facial et des contusions sur tout le corps.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38</w:t>
      </w:r>
      <w:r w:rsidRPr="00D07C7C">
        <w:rPr>
          <w:lang w:val="fr-FR"/>
        </w:rPr>
        <w:fldChar w:fldCharType="end"/>
      </w:r>
      <w:r w:rsidRPr="00D07C7C">
        <w:rPr>
          <w:lang w:val="fr-FR"/>
        </w:rPr>
        <w:t>.  M</w:t>
      </w:r>
      <w:r w:rsidRPr="00D07C7C">
        <w:rPr>
          <w:vertAlign w:val="superscript"/>
          <w:lang w:val="fr-FR"/>
        </w:rPr>
        <w:t>me</w:t>
      </w:r>
      <w:r w:rsidRPr="00D07C7C">
        <w:rPr>
          <w:lang w:val="fr-FR"/>
        </w:rPr>
        <w:t xml:space="preserve"> A.J. Kutschkau fut violemment battue à coups de matraque et à coups de pied. Le rapport médical faisait état d</w:t>
      </w:r>
      <w:r w:rsidR="00D07C7C" w:rsidRPr="00D07C7C">
        <w:rPr>
          <w:lang w:val="fr-FR"/>
        </w:rPr>
        <w:t>’</w:t>
      </w:r>
      <w:r w:rsidRPr="00D07C7C">
        <w:rPr>
          <w:lang w:val="fr-FR"/>
        </w:rPr>
        <w:t>un traumatisme crânien, d</w:t>
      </w:r>
      <w:r w:rsidR="00D07C7C" w:rsidRPr="00D07C7C">
        <w:rPr>
          <w:lang w:val="fr-FR"/>
        </w:rPr>
        <w:t>’</w:t>
      </w:r>
      <w:r w:rsidRPr="00D07C7C">
        <w:rPr>
          <w:lang w:val="fr-FR"/>
        </w:rPr>
        <w:t xml:space="preserve">une </w:t>
      </w:r>
      <w:r w:rsidRPr="00D07C7C">
        <w:rPr>
          <w:lang w:val="fr-FR"/>
        </w:rPr>
        <w:lastRenderedPageBreak/>
        <w:t>fracture de l</w:t>
      </w:r>
      <w:r w:rsidR="00D07C7C" w:rsidRPr="00D07C7C">
        <w:rPr>
          <w:lang w:val="fr-FR"/>
        </w:rPr>
        <w:t>’</w:t>
      </w:r>
      <w:r w:rsidRPr="00D07C7C">
        <w:rPr>
          <w:lang w:val="fr-FR"/>
        </w:rPr>
        <w:t>os maxillaire, de la perte de deux dents, de la subluxation de deux autres, ainsi que d</w:t>
      </w:r>
      <w:r w:rsidR="00D07C7C" w:rsidRPr="00D07C7C">
        <w:rPr>
          <w:lang w:val="fr-FR"/>
        </w:rPr>
        <w:t>’</w:t>
      </w:r>
      <w:r w:rsidRPr="00D07C7C">
        <w:rPr>
          <w:lang w:val="fr-FR"/>
        </w:rPr>
        <w:t>un affaiblissement permanent de l</w:t>
      </w:r>
      <w:r w:rsidR="00D07C7C" w:rsidRPr="00D07C7C">
        <w:rPr>
          <w:lang w:val="fr-FR"/>
        </w:rPr>
        <w:t>’</w:t>
      </w:r>
      <w:r w:rsidRPr="00D07C7C">
        <w:rPr>
          <w:lang w:val="fr-FR"/>
        </w:rPr>
        <w:t>organe de la mastication.</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39</w:t>
      </w:r>
      <w:r w:rsidRPr="00D07C7C">
        <w:rPr>
          <w:lang w:val="fr-FR"/>
        </w:rPr>
        <w:fldChar w:fldCharType="end"/>
      </w:r>
      <w:r w:rsidRPr="00D07C7C">
        <w:rPr>
          <w:lang w:val="fr-FR"/>
        </w:rPr>
        <w:t>.  M. F.J. Madrazo Sanz fut roué de coups de matraque, ce qui lui causa des contusions et des blessures aux jambes.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40</w:t>
      </w:r>
      <w:r w:rsidRPr="00D07C7C">
        <w:rPr>
          <w:lang w:val="fr-FR"/>
        </w:rPr>
        <w:fldChar w:fldCharType="end"/>
      </w:r>
      <w:r w:rsidRPr="00D07C7C">
        <w:rPr>
          <w:lang w:val="fr-FR"/>
        </w:rPr>
        <w:t>.  M. F.P. Marquello fut violemment battu avec une matraque, ce qui lui causa une blessure au vertex, un traumatisme avec commotion cérébrale ainsi que la fracture de deux côtes et d</w:t>
      </w:r>
      <w:r w:rsidR="00D07C7C" w:rsidRPr="00D07C7C">
        <w:rPr>
          <w:lang w:val="fr-FR"/>
        </w:rPr>
        <w:t>’</w:t>
      </w:r>
      <w:r w:rsidRPr="00D07C7C">
        <w:rPr>
          <w:lang w:val="fr-FR"/>
        </w:rPr>
        <w:t>un doigt.</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41</w:t>
      </w:r>
      <w:r w:rsidRPr="00D07C7C">
        <w:rPr>
          <w:lang w:val="fr-FR"/>
        </w:rPr>
        <w:fldChar w:fldCharType="end"/>
      </w:r>
      <w:r w:rsidRPr="00D07C7C">
        <w:rPr>
          <w:lang w:val="fr-FR"/>
        </w:rPr>
        <w:t>.  M. N. Martensen fut battu à coups de matraque. Un agent de police lui déversa le contenu d</w:t>
      </w:r>
      <w:r w:rsidR="00D07C7C" w:rsidRPr="00D07C7C">
        <w:rPr>
          <w:lang w:val="fr-FR"/>
        </w:rPr>
        <w:t>’</w:t>
      </w:r>
      <w:r w:rsidRPr="00D07C7C">
        <w:rPr>
          <w:lang w:val="fr-FR"/>
        </w:rPr>
        <w:t>un extincteur sur le corps. Le rapport médical mentionnait la présence de contusions au visage, au menton, à l</w:t>
      </w:r>
      <w:r w:rsidR="00D07C7C" w:rsidRPr="00D07C7C">
        <w:rPr>
          <w:lang w:val="fr-FR"/>
        </w:rPr>
        <w:t>’</w:t>
      </w:r>
      <w:r w:rsidRPr="00D07C7C">
        <w:rPr>
          <w:lang w:val="fr-FR"/>
        </w:rPr>
        <w:t>épaule et à la jambe droite, ainsi que l</w:t>
      </w:r>
      <w:r w:rsidR="00D07C7C" w:rsidRPr="00D07C7C">
        <w:rPr>
          <w:lang w:val="fr-FR"/>
        </w:rPr>
        <w:t>’</w:t>
      </w:r>
      <w:r w:rsidRPr="00D07C7C">
        <w:rPr>
          <w:lang w:val="fr-FR"/>
        </w:rPr>
        <w:t>existence d</w:t>
      </w:r>
      <w:r w:rsidR="00D07C7C" w:rsidRPr="00D07C7C">
        <w:rPr>
          <w:lang w:val="fr-FR"/>
        </w:rPr>
        <w:t>’</w:t>
      </w:r>
      <w:r w:rsidRPr="00D07C7C">
        <w:rPr>
          <w:lang w:val="fr-FR"/>
        </w:rPr>
        <w:t>un traumatisme crânien. Il constatait une incapacité totale de travail de quarante jours.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42</w:t>
      </w:r>
      <w:r w:rsidRPr="00D07C7C">
        <w:rPr>
          <w:lang w:val="fr-FR"/>
        </w:rPr>
        <w:fldChar w:fldCharType="end"/>
      </w:r>
      <w:r w:rsidRPr="00D07C7C">
        <w:rPr>
          <w:lang w:val="fr-FR"/>
        </w:rPr>
        <w:t>.  M</w:t>
      </w:r>
      <w:r w:rsidRPr="00D07C7C">
        <w:rPr>
          <w:vertAlign w:val="superscript"/>
          <w:lang w:val="fr-FR"/>
        </w:rPr>
        <w:t>me</w:t>
      </w:r>
      <w:r w:rsidRPr="00D07C7C">
        <w:rPr>
          <w:lang w:val="fr-FR"/>
        </w:rPr>
        <w:t xml:space="preserve"> A.F. Martinez fut rouée de coups de matraque et un agent de police jeta volontairement un siège sur elle. Selon le rapport médical, elle présentait une fracture de la main gauche, de nombreuses contusions et lésions sérieuses, qui entraînèrent une incapacité totale de travail de quarante jours.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43</w:t>
      </w:r>
      <w:r w:rsidRPr="00D07C7C">
        <w:rPr>
          <w:lang w:val="fr-FR"/>
        </w:rPr>
        <w:fldChar w:fldCharType="end"/>
      </w:r>
      <w:r w:rsidRPr="00D07C7C">
        <w:rPr>
          <w:lang w:val="fr-FR"/>
        </w:rPr>
        <w:t>.  M. G.P. Mass</w:t>
      </w:r>
      <w:r w:rsidRPr="00D07C7C">
        <w:rPr>
          <w:rFonts w:cstheme="minorHAnsi"/>
          <w:lang w:val="fr-FR"/>
        </w:rPr>
        <w:t>ó</w:t>
      </w:r>
      <w:r w:rsidRPr="00D07C7C">
        <w:rPr>
          <w:lang w:val="fr-FR"/>
        </w:rPr>
        <w:t xml:space="preserve"> fut battu avec une matraque, ce qui lui causa un traumatisme crânien avec état de choc et une blessure au vertex.</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44</w:t>
      </w:r>
      <w:r w:rsidRPr="00D07C7C">
        <w:rPr>
          <w:lang w:val="fr-FR"/>
        </w:rPr>
        <w:fldChar w:fldCharType="end"/>
      </w:r>
      <w:r w:rsidRPr="00D07C7C">
        <w:rPr>
          <w:lang w:val="fr-FR"/>
        </w:rPr>
        <w:t>.  M. C. Mirra fut battu avec une matraque, ce qui lui causa un traumatisme crânien, des contusions et des blessures, notamment au cuir chevelu et à l</w:t>
      </w:r>
      <w:r w:rsidR="00D07C7C" w:rsidRPr="00D07C7C">
        <w:rPr>
          <w:lang w:val="fr-FR"/>
        </w:rPr>
        <w:t>’</w:t>
      </w:r>
      <w:r w:rsidRPr="00D07C7C">
        <w:rPr>
          <w:lang w:val="fr-FR"/>
        </w:rPr>
        <w:t>arcade sourcilière droite.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45</w:t>
      </w:r>
      <w:r w:rsidRPr="00D07C7C">
        <w:rPr>
          <w:lang w:val="fr-FR"/>
        </w:rPr>
        <w:fldChar w:fldCharType="end"/>
      </w:r>
      <w:r w:rsidRPr="00D07C7C">
        <w:rPr>
          <w:lang w:val="fr-FR"/>
        </w:rPr>
        <w:t>.  M. D. Moret Fernandez subit la fracture d</w:t>
      </w:r>
      <w:r w:rsidR="00D07C7C" w:rsidRPr="00D07C7C">
        <w:rPr>
          <w:lang w:val="fr-FR"/>
        </w:rPr>
        <w:t>’</w:t>
      </w:r>
      <w:r w:rsidRPr="00D07C7C">
        <w:rPr>
          <w:lang w:val="fr-FR"/>
        </w:rPr>
        <w:t>un doigt de la main gauche et du condyle du coude droit, ainsi qu</w:t>
      </w:r>
      <w:r w:rsidR="00D07C7C" w:rsidRPr="00D07C7C">
        <w:rPr>
          <w:lang w:val="fr-FR"/>
        </w:rPr>
        <w:t>’</w:t>
      </w:r>
      <w:r w:rsidRPr="00D07C7C">
        <w:rPr>
          <w:lang w:val="fr-FR"/>
        </w:rPr>
        <w:t>un traumatisme crânien et plusieurs hématomes. Le rapport médical constatait une incapacité totale de travail de quarante jours.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46</w:t>
      </w:r>
      <w:r w:rsidRPr="00D07C7C">
        <w:rPr>
          <w:lang w:val="fr-FR"/>
        </w:rPr>
        <w:fldChar w:fldCharType="end"/>
      </w:r>
      <w:r w:rsidRPr="00D07C7C">
        <w:rPr>
          <w:lang w:val="fr-FR"/>
        </w:rPr>
        <w:t>.  M. F.C. Nogueras Corral fut battu et une chaise et un banc en bois furent jetés sur lui. Il subit un traumatisme crânien, de nombreux contusions et hématomes et une fracture du péroné de la jambe droite. Le rapport médical constatait une incapacité totale de travail de quarante jours.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47</w:t>
      </w:r>
      <w:r w:rsidRPr="00D07C7C">
        <w:rPr>
          <w:lang w:val="fr-FR"/>
        </w:rPr>
        <w:fldChar w:fldCharType="end"/>
      </w:r>
      <w:r w:rsidRPr="00D07C7C">
        <w:rPr>
          <w:lang w:val="fr-FR"/>
        </w:rPr>
        <w:t>.  M</w:t>
      </w:r>
      <w:r w:rsidRPr="00D07C7C">
        <w:rPr>
          <w:vertAlign w:val="superscript"/>
          <w:lang w:val="fr-FR"/>
        </w:rPr>
        <w:t>me</w:t>
      </w:r>
      <w:r w:rsidRPr="00D07C7C">
        <w:rPr>
          <w:lang w:val="fr-FR"/>
        </w:rPr>
        <w:t xml:space="preserve"> K. Ottovay fut battue avec une matraque, ce qui lui causa des contusions, une myalgie et une fracture du cubitus.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48</w:t>
      </w:r>
      <w:r w:rsidRPr="00D07C7C">
        <w:rPr>
          <w:lang w:val="fr-FR"/>
        </w:rPr>
        <w:fldChar w:fldCharType="end"/>
      </w:r>
      <w:r w:rsidRPr="00D07C7C">
        <w:rPr>
          <w:lang w:val="fr-FR"/>
        </w:rPr>
        <w:t>.  M. V. Perrone subit un traumatisme crânien et des contusions à l</w:t>
      </w:r>
      <w:r w:rsidR="00D07C7C" w:rsidRPr="00D07C7C">
        <w:rPr>
          <w:lang w:val="fr-FR"/>
        </w:rPr>
        <w:t>’</w:t>
      </w:r>
      <w:r w:rsidRPr="00D07C7C">
        <w:rPr>
          <w:lang w:val="fr-FR"/>
        </w:rPr>
        <w:t>épaule gauche, au thorax et à la main droite.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49</w:t>
      </w:r>
      <w:r w:rsidRPr="00D07C7C">
        <w:rPr>
          <w:lang w:val="fr-FR"/>
        </w:rPr>
        <w:fldChar w:fldCharType="end"/>
      </w:r>
      <w:r w:rsidRPr="00D07C7C">
        <w:rPr>
          <w:lang w:val="fr-FR"/>
        </w:rPr>
        <w:t>.  M. R. Pollok fut battu sur tout le corps à coups de matraque, à coups de poing et à coups de pied. Le rapport médical indiquait qu</w:t>
      </w:r>
      <w:r w:rsidR="00D07C7C" w:rsidRPr="00D07C7C">
        <w:rPr>
          <w:lang w:val="fr-FR"/>
        </w:rPr>
        <w:t>’</w:t>
      </w:r>
      <w:r w:rsidRPr="00D07C7C">
        <w:rPr>
          <w:lang w:val="fr-FR"/>
        </w:rPr>
        <w:t>il présentait un traumatisme crânien, une fracture du cubitus droit, une contusion au thorax, une blessure au cuir chevelu et une blessure à la jambe droite.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50</w:t>
      </w:r>
      <w:r w:rsidRPr="00D07C7C">
        <w:rPr>
          <w:lang w:val="fr-FR"/>
        </w:rPr>
        <w:fldChar w:fldCharType="end"/>
      </w:r>
      <w:r w:rsidRPr="00D07C7C">
        <w:rPr>
          <w:lang w:val="fr-FR"/>
        </w:rPr>
        <w:t>.  M. F. Primosig reçut plusieurs coups de matraque aux jambes et à la tête. D</w:t>
      </w:r>
      <w:r w:rsidR="00D07C7C" w:rsidRPr="00D07C7C">
        <w:rPr>
          <w:lang w:val="fr-FR"/>
        </w:rPr>
        <w:t>’</w:t>
      </w:r>
      <w:r w:rsidRPr="00D07C7C">
        <w:rPr>
          <w:lang w:val="fr-FR"/>
        </w:rPr>
        <w:t>après le rapport médical, il présentait un traumatisme crânien, une fracture au doigt et des blessures au cuir chevelu. Il fut hospitalisé du 22 juillet au 1</w:t>
      </w:r>
      <w:r w:rsidRPr="00D07C7C">
        <w:rPr>
          <w:vertAlign w:val="superscript"/>
          <w:lang w:val="fr-FR"/>
        </w:rPr>
        <w:t>er</w:t>
      </w:r>
      <w:r w:rsidRPr="00D07C7C">
        <w:rPr>
          <w:lang w:val="fr-FR"/>
        </w:rPr>
        <w:t xml:space="preserve"> août 2001.</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51</w:t>
      </w:r>
      <w:r w:rsidRPr="00D07C7C">
        <w:rPr>
          <w:lang w:val="fr-FR"/>
        </w:rPr>
        <w:fldChar w:fldCharType="end"/>
      </w:r>
      <w:r w:rsidRPr="00D07C7C">
        <w:rPr>
          <w:lang w:val="fr-FR"/>
        </w:rPr>
        <w:t>.  M. B.F.J. Samperiz reçut des coups de matraque qui lui causèrent des contusions ainsi qu</w:t>
      </w:r>
      <w:r w:rsidR="00D07C7C" w:rsidRPr="00D07C7C">
        <w:rPr>
          <w:lang w:val="fr-FR"/>
        </w:rPr>
        <w:t>’</w:t>
      </w:r>
      <w:r w:rsidRPr="00D07C7C">
        <w:rPr>
          <w:lang w:val="fr-FR"/>
        </w:rPr>
        <w:t>une blessure au genou gauche.</w:t>
      </w:r>
    </w:p>
    <w:p w:rsidR="00FE73C2" w:rsidRPr="00D07C7C" w:rsidRDefault="00FE73C2" w:rsidP="00D07C7C">
      <w:pPr>
        <w:pStyle w:val="ECHRPara"/>
        <w:rPr>
          <w:lang w:val="fr-FR"/>
        </w:rPr>
      </w:pPr>
      <w:r w:rsidRPr="00D07C7C">
        <w:rPr>
          <w:lang w:val="fr-FR"/>
        </w:rPr>
        <w:lastRenderedPageBreak/>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52</w:t>
      </w:r>
      <w:r w:rsidRPr="00D07C7C">
        <w:rPr>
          <w:lang w:val="fr-FR"/>
        </w:rPr>
        <w:fldChar w:fldCharType="end"/>
      </w:r>
      <w:r w:rsidRPr="00D07C7C">
        <w:rPr>
          <w:lang w:val="fr-FR"/>
        </w:rPr>
        <w:t>.  M. S. Sibler fut battu avec une matraque. Il subit un traumatisme crânien, ainsi que des blessures à la tête et au tibia droit.</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53</w:t>
      </w:r>
      <w:r w:rsidRPr="00D07C7C">
        <w:rPr>
          <w:lang w:val="fr-FR"/>
        </w:rPr>
        <w:fldChar w:fldCharType="end"/>
      </w:r>
      <w:r w:rsidRPr="00D07C7C">
        <w:rPr>
          <w:lang w:val="fr-FR"/>
        </w:rPr>
        <w:t>.  M. J.L. Sicilia fut frappé à coups de matraque et à coups de pied, ce qui lui causa un traumatisme crânien, un hématome sous-cutané, plusieurs contusions et la fracture de deux côtes. Le rapport médical mentionnait une incapacité totale de travail de quarante jours.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54</w:t>
      </w:r>
      <w:r w:rsidRPr="00D07C7C">
        <w:rPr>
          <w:lang w:val="fr-FR"/>
        </w:rPr>
        <w:fldChar w:fldCharType="end"/>
      </w:r>
      <w:r w:rsidRPr="00D07C7C">
        <w:rPr>
          <w:lang w:val="fr-FR"/>
        </w:rPr>
        <w:t>.  M. J. Szabo s</w:t>
      </w:r>
      <w:r w:rsidR="00D07C7C" w:rsidRPr="00D07C7C">
        <w:rPr>
          <w:lang w:val="fr-FR"/>
        </w:rPr>
        <w:t>’</w:t>
      </w:r>
      <w:r w:rsidRPr="00D07C7C">
        <w:rPr>
          <w:lang w:val="fr-FR"/>
        </w:rPr>
        <w:t>échappa du périmètre de l</w:t>
      </w:r>
      <w:r w:rsidR="00D07C7C" w:rsidRPr="00D07C7C">
        <w:rPr>
          <w:lang w:val="fr-FR"/>
        </w:rPr>
        <w:t>’</w:t>
      </w:r>
      <w:r w:rsidRPr="00D07C7C">
        <w:rPr>
          <w:lang w:val="fr-FR"/>
        </w:rPr>
        <w:t>école à l</w:t>
      </w:r>
      <w:r w:rsidR="00D07C7C" w:rsidRPr="00D07C7C">
        <w:rPr>
          <w:lang w:val="fr-FR"/>
        </w:rPr>
        <w:t>’</w:t>
      </w:r>
      <w:r w:rsidRPr="00D07C7C">
        <w:rPr>
          <w:lang w:val="fr-FR"/>
        </w:rPr>
        <w:t>arrivée de la police pour se cacher dans un terrain à proximité. Découvert par des agents qui ratissaient les environs, il reçut des coups de matraque. Le rapport médical constatait la présence de contusions à l</w:t>
      </w:r>
      <w:r w:rsidR="00D07C7C" w:rsidRPr="00D07C7C">
        <w:rPr>
          <w:lang w:val="fr-FR"/>
        </w:rPr>
        <w:t>’</w:t>
      </w:r>
      <w:r w:rsidRPr="00D07C7C">
        <w:rPr>
          <w:lang w:val="fr-FR"/>
        </w:rPr>
        <w:t>épaule gauche et au flanc droit, ainsi que d</w:t>
      </w:r>
      <w:r w:rsidR="00D07C7C" w:rsidRPr="00D07C7C">
        <w:rPr>
          <w:lang w:val="fr-FR"/>
        </w:rPr>
        <w:t>’</w:t>
      </w:r>
      <w:r w:rsidRPr="00D07C7C">
        <w:rPr>
          <w:lang w:val="fr-FR"/>
        </w:rPr>
        <w:t>excoriations dans la région frontale.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55</w:t>
      </w:r>
      <w:r w:rsidRPr="00D07C7C">
        <w:rPr>
          <w:lang w:val="fr-FR"/>
        </w:rPr>
        <w:fldChar w:fldCharType="end"/>
      </w:r>
      <w:r w:rsidRPr="00D07C7C">
        <w:rPr>
          <w:lang w:val="fr-FR"/>
        </w:rPr>
        <w:t>.  M</w:t>
      </w:r>
      <w:r w:rsidRPr="00D07C7C">
        <w:rPr>
          <w:vertAlign w:val="superscript"/>
          <w:lang w:val="fr-FR"/>
        </w:rPr>
        <w:t>me</w:t>
      </w:r>
      <w:r w:rsidRPr="00D07C7C">
        <w:rPr>
          <w:lang w:val="fr-FR"/>
        </w:rPr>
        <w:t xml:space="preserve"> D. Herrero Villamor reçut deux coups de matraque qui lui causèrent la fracture du cubitus droit. Le rapport médical faisait également état d</w:t>
      </w:r>
      <w:r w:rsidR="00D07C7C" w:rsidRPr="00D07C7C">
        <w:rPr>
          <w:lang w:val="fr-FR"/>
        </w:rPr>
        <w:t>’</w:t>
      </w:r>
      <w:r w:rsidRPr="00D07C7C">
        <w:rPr>
          <w:lang w:val="fr-FR"/>
        </w:rPr>
        <w:t>un traumatisme crânien.</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56</w:t>
      </w:r>
      <w:r w:rsidRPr="00D07C7C">
        <w:rPr>
          <w:lang w:val="fr-FR"/>
        </w:rPr>
        <w:fldChar w:fldCharType="end"/>
      </w:r>
      <w:r w:rsidRPr="00D07C7C">
        <w:rPr>
          <w:lang w:val="fr-FR"/>
        </w:rPr>
        <w:t>.  M</w:t>
      </w:r>
      <w:r w:rsidRPr="00D07C7C">
        <w:rPr>
          <w:vertAlign w:val="superscript"/>
          <w:lang w:val="fr-FR"/>
        </w:rPr>
        <w:t>me</w:t>
      </w:r>
      <w:r w:rsidRPr="00D07C7C">
        <w:rPr>
          <w:lang w:val="fr-FR"/>
        </w:rPr>
        <w:t xml:space="preserve"> G.G. Zapatero fut tabassée avec une matraque, ce qui lui causa une contusion à l</w:t>
      </w:r>
      <w:r w:rsidR="00D07C7C" w:rsidRPr="00D07C7C">
        <w:rPr>
          <w:lang w:val="fr-FR"/>
        </w:rPr>
        <w:t>’</w:t>
      </w:r>
      <w:r w:rsidRPr="00D07C7C">
        <w:rPr>
          <w:lang w:val="fr-FR"/>
        </w:rPr>
        <w:t>épaule droite.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57</w:t>
      </w:r>
      <w:r w:rsidRPr="00D07C7C">
        <w:rPr>
          <w:lang w:val="fr-FR"/>
        </w:rPr>
        <w:fldChar w:fldCharType="end"/>
      </w:r>
      <w:r w:rsidRPr="00D07C7C">
        <w:rPr>
          <w:lang w:val="fr-FR"/>
        </w:rPr>
        <w:t>.  M. S. Zehatschek fut roué de coups de matraque. Le rapport médical indiquait qu</w:t>
      </w:r>
      <w:r w:rsidR="00D07C7C" w:rsidRPr="00D07C7C">
        <w:rPr>
          <w:lang w:val="fr-FR"/>
        </w:rPr>
        <w:t>’</w:t>
      </w:r>
      <w:r w:rsidRPr="00D07C7C">
        <w:rPr>
          <w:lang w:val="fr-FR"/>
        </w:rPr>
        <w:t>il souffrait d</w:t>
      </w:r>
      <w:r w:rsidR="00D07C7C" w:rsidRPr="00D07C7C">
        <w:rPr>
          <w:lang w:val="fr-FR"/>
        </w:rPr>
        <w:t>’</w:t>
      </w:r>
      <w:r w:rsidRPr="00D07C7C">
        <w:rPr>
          <w:lang w:val="fr-FR"/>
        </w:rPr>
        <w:t>un traumatisme crânien et de contusions multiples, notamment au thorax.</w:t>
      </w:r>
    </w:p>
    <w:bookmarkStart w:id="5" w:name="FIN_RECITS_INDIVIDUELS"/>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58</w:t>
      </w:r>
      <w:r w:rsidRPr="00D07C7C">
        <w:rPr>
          <w:lang w:val="fr-FR"/>
        </w:rPr>
        <w:fldChar w:fldCharType="end"/>
      </w:r>
      <w:bookmarkEnd w:id="5"/>
      <w:r w:rsidRPr="00D07C7C">
        <w:rPr>
          <w:lang w:val="fr-FR"/>
        </w:rPr>
        <w:t>.  M</w:t>
      </w:r>
      <w:r w:rsidRPr="00D07C7C">
        <w:rPr>
          <w:vertAlign w:val="superscript"/>
          <w:lang w:val="fr-FR"/>
        </w:rPr>
        <w:t>me</w:t>
      </w:r>
      <w:r w:rsidRPr="00D07C7C">
        <w:rPr>
          <w:lang w:val="fr-FR"/>
        </w:rPr>
        <w:t xml:space="preserve"> L. Zuhlke reçut plusieurs coups de matraque à la tête et aux épaules. Tombée à terre, elle fut rouée de coups sur le dos et sur la poitrine. Tirée par les cheveux et soulevée, elle reçut encore des coups à l</w:t>
      </w:r>
      <w:r w:rsidR="00D07C7C" w:rsidRPr="00D07C7C">
        <w:rPr>
          <w:lang w:val="fr-FR"/>
        </w:rPr>
        <w:t>’</w:t>
      </w:r>
      <w:r w:rsidRPr="00D07C7C">
        <w:rPr>
          <w:lang w:val="fr-FR"/>
        </w:rPr>
        <w:t>entrejambe. Poussée contre un mur, elle fut frappée à la poitrine et au ventre, puis traînée dans les escaliers où elle fut de nouveau frappée. Elle fut hospitalisée du 22 au 31 juillet 2001. Selon le rapport médical, elle présentait un traumatisme au thorax et à l</w:t>
      </w:r>
      <w:r w:rsidR="00D07C7C" w:rsidRPr="00D07C7C">
        <w:rPr>
          <w:lang w:val="fr-FR"/>
        </w:rPr>
        <w:t>’</w:t>
      </w:r>
      <w:r w:rsidRPr="00D07C7C">
        <w:rPr>
          <w:lang w:val="fr-FR"/>
        </w:rPr>
        <w:t>abdomen, des fractures à l</w:t>
      </w:r>
      <w:r w:rsidR="00D07C7C" w:rsidRPr="00D07C7C">
        <w:rPr>
          <w:lang w:val="fr-FR"/>
        </w:rPr>
        <w:t>’</w:t>
      </w:r>
      <w:r w:rsidRPr="00D07C7C">
        <w:rPr>
          <w:lang w:val="fr-FR"/>
        </w:rPr>
        <w:t>arc costal avec pneumothorax et contusion pulmonaire, un traumatisme crânien et de multiples contusions. Ce rapport faisait également état d</w:t>
      </w:r>
      <w:r w:rsidR="00D07C7C" w:rsidRPr="00D07C7C">
        <w:rPr>
          <w:lang w:val="fr-FR"/>
        </w:rPr>
        <w:t>’</w:t>
      </w:r>
      <w:r w:rsidRPr="00D07C7C">
        <w:rPr>
          <w:lang w:val="fr-FR"/>
        </w:rPr>
        <w:t>un affaiblissement permanent du mouvement du bras et du cou, et d</w:t>
      </w:r>
      <w:r w:rsidR="00D07C7C" w:rsidRPr="00D07C7C">
        <w:rPr>
          <w:lang w:val="fr-FR"/>
        </w:rPr>
        <w:t>’</w:t>
      </w:r>
      <w:r w:rsidRPr="00D07C7C">
        <w:rPr>
          <w:lang w:val="fr-FR"/>
        </w:rPr>
        <w:t>un affaiblissement permanent de la fonction respiratoire d</w:t>
      </w:r>
      <w:r w:rsidR="00D07C7C" w:rsidRPr="00D07C7C">
        <w:rPr>
          <w:lang w:val="fr-FR"/>
        </w:rPr>
        <w:t>’</w:t>
      </w:r>
      <w:r w:rsidRPr="00D07C7C">
        <w:rPr>
          <w:lang w:val="fr-FR"/>
        </w:rPr>
        <w:t>environ 30 %, et constatait une incapacité totale de travail de quarante jours.</w:t>
      </w:r>
    </w:p>
    <w:p w:rsidR="00FE73C2" w:rsidRPr="00D07C7C" w:rsidRDefault="00065A11" w:rsidP="00D07C7C">
      <w:pPr>
        <w:pStyle w:val="ECHRHeading2"/>
        <w:rPr>
          <w:lang w:val="fr-FR"/>
        </w:rPr>
      </w:pPr>
      <w:r w:rsidRPr="00D07C7C">
        <w:rPr>
          <w:lang w:val="fr-FR"/>
        </w:rPr>
        <w:t>D</w:t>
      </w:r>
      <w:r w:rsidR="00FE73C2" w:rsidRPr="00D07C7C">
        <w:rPr>
          <w:lang w:val="fr-FR"/>
        </w:rPr>
        <w:t>.  L</w:t>
      </w:r>
      <w:r w:rsidR="00D07C7C" w:rsidRPr="00D07C7C">
        <w:rPr>
          <w:lang w:val="fr-FR"/>
        </w:rPr>
        <w:t>’</w:t>
      </w:r>
      <w:r w:rsidR="00FE73C2" w:rsidRPr="00D07C7C">
        <w:rPr>
          <w:lang w:val="fr-FR"/>
        </w:rPr>
        <w:t>irruption de la police dans l</w:t>
      </w:r>
      <w:r w:rsidR="00D07C7C" w:rsidRPr="00D07C7C">
        <w:rPr>
          <w:lang w:val="fr-FR"/>
        </w:rPr>
        <w:t>’</w:t>
      </w:r>
      <w:r w:rsidR="00FE73C2" w:rsidRPr="00D07C7C">
        <w:rPr>
          <w:lang w:val="fr-FR"/>
        </w:rPr>
        <w:t>école Pascoli</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59</w:t>
      </w:r>
      <w:r w:rsidRPr="00D07C7C">
        <w:rPr>
          <w:lang w:val="fr-FR"/>
        </w:rPr>
        <w:fldChar w:fldCharType="end"/>
      </w:r>
      <w:r w:rsidRPr="00D07C7C">
        <w:rPr>
          <w:lang w:val="fr-FR"/>
        </w:rPr>
        <w:t>.  Quelque temps après l</w:t>
      </w:r>
      <w:r w:rsidR="00D07C7C" w:rsidRPr="00D07C7C">
        <w:rPr>
          <w:lang w:val="fr-FR"/>
        </w:rPr>
        <w:t>’</w:t>
      </w:r>
      <w:r w:rsidRPr="00D07C7C">
        <w:rPr>
          <w:lang w:val="fr-FR"/>
        </w:rPr>
        <w:t>irruption dans l</w:t>
      </w:r>
      <w:r w:rsidR="00D07C7C" w:rsidRPr="00D07C7C">
        <w:rPr>
          <w:lang w:val="fr-FR"/>
        </w:rPr>
        <w:t>’</w:t>
      </w:r>
      <w:r w:rsidRPr="00D07C7C">
        <w:rPr>
          <w:lang w:val="fr-FR"/>
        </w:rPr>
        <w:t>école Diaz-Pertini, une unité d</w:t>
      </w:r>
      <w:r w:rsidR="00D07C7C" w:rsidRPr="00D07C7C">
        <w:rPr>
          <w:lang w:val="fr-FR"/>
        </w:rPr>
        <w:t>’</w:t>
      </w:r>
      <w:r w:rsidRPr="00D07C7C">
        <w:rPr>
          <w:lang w:val="fr-FR"/>
        </w:rPr>
        <w:t>agents pénétra dans l</w:t>
      </w:r>
      <w:r w:rsidR="00D07C7C" w:rsidRPr="00D07C7C">
        <w:rPr>
          <w:lang w:val="fr-FR"/>
        </w:rPr>
        <w:t>’</w:t>
      </w:r>
      <w:r w:rsidRPr="00D07C7C">
        <w:rPr>
          <w:lang w:val="fr-FR"/>
        </w:rPr>
        <w:t>école Pascoli, qui hébergeait la salle de presse et le bureau des avocats. Depuis les fenêtres des étages supérieurs, des journalistes filmaient les événements en train de se dérouler dans l</w:t>
      </w:r>
      <w:r w:rsidR="00D07C7C" w:rsidRPr="00D07C7C">
        <w:rPr>
          <w:lang w:val="fr-FR"/>
        </w:rPr>
        <w:t>’</w:t>
      </w:r>
      <w:r w:rsidRPr="00D07C7C">
        <w:rPr>
          <w:lang w:val="fr-FR"/>
        </w:rPr>
        <w:t>école Diaz-Pertini et, simultanément, une station de radio relatait tous ces événements en direct.</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60</w:t>
      </w:r>
      <w:r w:rsidRPr="00D07C7C">
        <w:rPr>
          <w:lang w:val="fr-FR"/>
        </w:rPr>
        <w:fldChar w:fldCharType="end"/>
      </w:r>
      <w:r w:rsidRPr="00D07C7C">
        <w:rPr>
          <w:lang w:val="fr-FR"/>
        </w:rPr>
        <w:t>.  À l</w:t>
      </w:r>
      <w:r w:rsidR="00D07C7C" w:rsidRPr="00D07C7C">
        <w:rPr>
          <w:lang w:val="fr-FR"/>
        </w:rPr>
        <w:t>’</w:t>
      </w:r>
      <w:r w:rsidRPr="00D07C7C">
        <w:rPr>
          <w:lang w:val="fr-FR"/>
        </w:rPr>
        <w:t>arrivée des agents de police, les journalistes furent forcés de mettre fin aux prises de vue et à l</w:t>
      </w:r>
      <w:r w:rsidR="00D07C7C" w:rsidRPr="00D07C7C">
        <w:rPr>
          <w:lang w:val="fr-FR"/>
        </w:rPr>
        <w:t>’</w:t>
      </w:r>
      <w:r w:rsidRPr="00D07C7C">
        <w:rPr>
          <w:lang w:val="fr-FR"/>
        </w:rPr>
        <w:t>émission de radio. Les tribunaux internes ont établi que des cassettes vidéo, contenant les reportages filmés pendant les trois jours du sommet, avaient été saisies pendant l</w:t>
      </w:r>
      <w:r w:rsidR="00D07C7C" w:rsidRPr="00D07C7C">
        <w:rPr>
          <w:lang w:val="fr-FR"/>
        </w:rPr>
        <w:t>’</w:t>
      </w:r>
      <w:r w:rsidRPr="00D07C7C">
        <w:rPr>
          <w:lang w:val="fr-FR"/>
        </w:rPr>
        <w:t xml:space="preserve">opération. Il a également été prouvé que les disques durs des ordinateurs des avocats du GSF ont été gravement </w:t>
      </w:r>
      <w:r w:rsidRPr="00D07C7C">
        <w:rPr>
          <w:lang w:val="fr-FR"/>
        </w:rPr>
        <w:lastRenderedPageBreak/>
        <w:t>endommagés (voir, en particulier, le jugement du tribunal de Gênes</w:t>
      </w:r>
      <w:r w:rsidR="00BE7CE0" w:rsidRPr="00D07C7C">
        <w:rPr>
          <w:lang w:val="fr-FR"/>
        </w:rPr>
        <w:t>, pp. 300</w:t>
      </w:r>
      <w:r w:rsidR="00BE7CE0" w:rsidRPr="00D07C7C">
        <w:rPr>
          <w:lang w:val="fr-FR"/>
        </w:rPr>
        <w:noBreakHyphen/>
      </w:r>
      <w:r w:rsidRPr="00D07C7C">
        <w:rPr>
          <w:lang w:val="fr-FR"/>
        </w:rPr>
        <w:t>310).</w:t>
      </w:r>
    </w:p>
    <w:p w:rsidR="00FE73C2" w:rsidRPr="00D07C7C" w:rsidRDefault="00065A11" w:rsidP="00D07C7C">
      <w:pPr>
        <w:pStyle w:val="ECHRHeading2"/>
        <w:rPr>
          <w:lang w:val="fr-FR"/>
        </w:rPr>
      </w:pPr>
      <w:r w:rsidRPr="00D07C7C">
        <w:rPr>
          <w:lang w:val="fr-FR"/>
        </w:rPr>
        <w:t>E</w:t>
      </w:r>
      <w:r w:rsidR="00FE73C2" w:rsidRPr="00D07C7C">
        <w:rPr>
          <w:lang w:val="fr-FR"/>
        </w:rPr>
        <w:t>.  Les événements qui suivirent l</w:t>
      </w:r>
      <w:r w:rsidR="00D07C7C" w:rsidRPr="00D07C7C">
        <w:rPr>
          <w:lang w:val="fr-FR"/>
        </w:rPr>
        <w:t>’</w:t>
      </w:r>
      <w:r w:rsidR="00FE73C2" w:rsidRPr="00D07C7C">
        <w:rPr>
          <w:lang w:val="fr-FR"/>
        </w:rPr>
        <w:t>irruption dans les écoles Diaz-Pertini et Pascoli</w:t>
      </w:r>
    </w:p>
    <w:bookmarkStart w:id="6" w:name="ARRESTATION_CHIFFRES"/>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61</w:t>
      </w:r>
      <w:r w:rsidRPr="00D07C7C">
        <w:rPr>
          <w:lang w:val="fr-FR"/>
        </w:rPr>
        <w:fldChar w:fldCharType="end"/>
      </w:r>
      <w:bookmarkEnd w:id="6"/>
      <w:r w:rsidRPr="00D07C7C">
        <w:rPr>
          <w:lang w:val="fr-FR"/>
        </w:rPr>
        <w:t>.  Une fois terminée la phase de perquisition de l</w:t>
      </w:r>
      <w:r w:rsidR="00D07C7C" w:rsidRPr="00D07C7C">
        <w:rPr>
          <w:lang w:val="fr-FR"/>
        </w:rPr>
        <w:t>’</w:t>
      </w:r>
      <w:r w:rsidRPr="00D07C7C">
        <w:rPr>
          <w:lang w:val="fr-FR"/>
        </w:rPr>
        <w:t>école Diaz-Pertini, les forces de l</w:t>
      </w:r>
      <w:r w:rsidR="00D07C7C" w:rsidRPr="00D07C7C">
        <w:rPr>
          <w:lang w:val="fr-FR"/>
        </w:rPr>
        <w:t>’</w:t>
      </w:r>
      <w:r w:rsidRPr="00D07C7C">
        <w:rPr>
          <w:lang w:val="fr-FR"/>
        </w:rPr>
        <w:t>ordre réunirent les objets trouvés dans le gymnase, sans chercher à en identifier les propriétaires ni à informer les personnes présentes de la nature de l</w:t>
      </w:r>
      <w:r w:rsidR="00D07C7C" w:rsidRPr="00D07C7C">
        <w:rPr>
          <w:lang w:val="fr-FR"/>
        </w:rPr>
        <w:t>’</w:t>
      </w:r>
      <w:r w:rsidRPr="00D07C7C">
        <w:rPr>
          <w:lang w:val="fr-FR"/>
        </w:rPr>
        <w:t>opération en cours (jugement du tribunal de Gênes, pp. 285-300). La police procéda à l</w:t>
      </w:r>
      <w:r w:rsidR="00D07C7C" w:rsidRPr="00D07C7C">
        <w:rPr>
          <w:lang w:val="fr-FR"/>
        </w:rPr>
        <w:t>’</w:t>
      </w:r>
      <w:r w:rsidRPr="00D07C7C">
        <w:rPr>
          <w:lang w:val="fr-FR"/>
        </w:rPr>
        <w:t>arrestation des 93 personnes qui occupaient l</w:t>
      </w:r>
      <w:r w:rsidR="00D07C7C" w:rsidRPr="00D07C7C">
        <w:rPr>
          <w:lang w:val="fr-FR"/>
        </w:rPr>
        <w:t>’</w:t>
      </w:r>
      <w:r w:rsidRPr="00D07C7C">
        <w:rPr>
          <w:lang w:val="fr-FR"/>
        </w:rPr>
        <w:t>école, pour association de malfaiteurs visant au saccage et à la dévastation, résistance aggravée aux forces de l</w:t>
      </w:r>
      <w:r w:rsidR="00D07C7C" w:rsidRPr="00D07C7C">
        <w:rPr>
          <w:lang w:val="fr-FR"/>
        </w:rPr>
        <w:t>’</w:t>
      </w:r>
      <w:r w:rsidRPr="00D07C7C">
        <w:rPr>
          <w:lang w:val="fr-FR"/>
        </w:rPr>
        <w:t>ordre et port abusif d</w:t>
      </w:r>
      <w:r w:rsidR="00D07C7C" w:rsidRPr="00D07C7C">
        <w:rPr>
          <w:lang w:val="fr-FR"/>
        </w:rPr>
        <w:t>’</w:t>
      </w:r>
      <w:r w:rsidRPr="00D07C7C">
        <w:rPr>
          <w:lang w:val="fr-FR"/>
        </w:rPr>
        <w:t>armes. Parmi ces personnes, 78 furent secourues par le personnel sanitaire arrivé sur place puis hospitalisées, tandis que les autres furent transférées dans la caserne de Bolzaneto.</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62</w:t>
      </w:r>
      <w:r w:rsidRPr="00D07C7C">
        <w:rPr>
          <w:lang w:val="fr-FR"/>
        </w:rPr>
        <w:fldChar w:fldCharType="end"/>
      </w:r>
      <w:r w:rsidRPr="00D07C7C">
        <w:rPr>
          <w:lang w:val="fr-FR"/>
        </w:rPr>
        <w:t>.  Dans la nuit du 21 au 22 juillet, le chef du service de communication de la police italienne, interviewé à proximité des écoles, déclara que la police venait de trouver des vêtements et des cagoules noirs similaires à ceux utilisés par le « bloc noir ». Il ajouta que les nombreuses taches de sang dans le bâtiment s</w:t>
      </w:r>
      <w:r w:rsidR="00D07C7C" w:rsidRPr="00D07C7C">
        <w:rPr>
          <w:lang w:val="fr-FR"/>
        </w:rPr>
        <w:t>’</w:t>
      </w:r>
      <w:r w:rsidRPr="00D07C7C">
        <w:rPr>
          <w:lang w:val="fr-FR"/>
        </w:rPr>
        <w:t>expliquaient par les blessures subies par la plupart des occupants de l</w:t>
      </w:r>
      <w:r w:rsidR="00D07C7C" w:rsidRPr="00D07C7C">
        <w:rPr>
          <w:lang w:val="fr-FR"/>
        </w:rPr>
        <w:t>’</w:t>
      </w:r>
      <w:r w:rsidRPr="00D07C7C">
        <w:rPr>
          <w:lang w:val="fr-FR"/>
        </w:rPr>
        <w:t>école Diaz-Pertini au cours de la journée (jugement de</w:t>
      </w:r>
      <w:r w:rsidR="00BE7CE0" w:rsidRPr="00D07C7C">
        <w:rPr>
          <w:lang w:val="fr-FR"/>
        </w:rPr>
        <w:t xml:space="preserve"> première instance, pp. </w:t>
      </w:r>
      <w:r w:rsidRPr="00D07C7C">
        <w:rPr>
          <w:lang w:val="fr-FR"/>
        </w:rPr>
        <w:t>170-172).</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63</w:t>
      </w:r>
      <w:r w:rsidRPr="00D07C7C">
        <w:rPr>
          <w:lang w:val="fr-FR"/>
        </w:rPr>
        <w:fldChar w:fldCharType="end"/>
      </w:r>
      <w:r w:rsidRPr="00D07C7C">
        <w:rPr>
          <w:lang w:val="fr-FR"/>
        </w:rPr>
        <w:t>.  Le 22 juillet, à la préfecture de police</w:t>
      </w:r>
      <w:r w:rsidRPr="00D07C7C">
        <w:rPr>
          <w:i/>
          <w:lang w:val="fr-FR"/>
        </w:rPr>
        <w:t xml:space="preserve"> </w:t>
      </w:r>
      <w:r w:rsidRPr="00D07C7C">
        <w:rPr>
          <w:lang w:val="fr-FR"/>
        </w:rPr>
        <w:t>de Gênes, la police montra à la presse les objets saisis lors de la perquisition, en particulier deux cocktails Molotov et une tenue d</w:t>
      </w:r>
      <w:r w:rsidR="00D07C7C" w:rsidRPr="00D07C7C">
        <w:rPr>
          <w:lang w:val="fr-FR"/>
        </w:rPr>
        <w:t>’</w:t>
      </w:r>
      <w:r w:rsidRPr="00D07C7C">
        <w:rPr>
          <w:lang w:val="fr-FR"/>
        </w:rPr>
        <w:t>agent de police qui présentait une déchirure nette pouvant avoir été causée par un coup de couteau (</w:t>
      </w:r>
      <w:r w:rsidRPr="00D07C7C">
        <w:rPr>
          <w:i/>
          <w:lang w:val="fr-FR"/>
        </w:rPr>
        <w:t>ibidem</w:t>
      </w:r>
      <w:r w:rsidRPr="00D07C7C">
        <w:rPr>
          <w:lang w:val="fr-FR"/>
        </w:rPr>
        <w:t>).</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64</w:t>
      </w:r>
      <w:r w:rsidRPr="00D07C7C">
        <w:rPr>
          <w:lang w:val="fr-FR"/>
        </w:rPr>
        <w:fldChar w:fldCharType="end"/>
      </w:r>
      <w:r w:rsidRPr="00D07C7C">
        <w:rPr>
          <w:lang w:val="fr-FR"/>
        </w:rPr>
        <w:t>.  Les poursuites engagées contre les occupants des chefs d</w:t>
      </w:r>
      <w:r w:rsidR="00D07C7C" w:rsidRPr="00D07C7C">
        <w:rPr>
          <w:lang w:val="fr-FR"/>
        </w:rPr>
        <w:t>’</w:t>
      </w:r>
      <w:r w:rsidRPr="00D07C7C">
        <w:rPr>
          <w:lang w:val="fr-FR"/>
        </w:rPr>
        <w:t>association de malfaiteurs visant au saccage et à la dévastation, de résistance aggravée aux forces de l</w:t>
      </w:r>
      <w:r w:rsidR="00D07C7C" w:rsidRPr="00D07C7C">
        <w:rPr>
          <w:lang w:val="fr-FR"/>
        </w:rPr>
        <w:t>’</w:t>
      </w:r>
      <w:r w:rsidRPr="00D07C7C">
        <w:rPr>
          <w:lang w:val="fr-FR"/>
        </w:rPr>
        <w:t>ordre et de port abusif d</w:t>
      </w:r>
      <w:r w:rsidR="00D07C7C" w:rsidRPr="00D07C7C">
        <w:rPr>
          <w:lang w:val="fr-FR"/>
        </w:rPr>
        <w:t>’</w:t>
      </w:r>
      <w:r w:rsidRPr="00D07C7C">
        <w:rPr>
          <w:lang w:val="fr-FR"/>
        </w:rPr>
        <w:t>armes ont abouti à l</w:t>
      </w:r>
      <w:r w:rsidR="00D07C7C" w:rsidRPr="00D07C7C">
        <w:rPr>
          <w:lang w:val="fr-FR"/>
        </w:rPr>
        <w:t>’</w:t>
      </w:r>
      <w:r w:rsidRPr="00D07C7C">
        <w:rPr>
          <w:lang w:val="fr-FR"/>
        </w:rPr>
        <w:t>acquittement des intéressés.</w:t>
      </w:r>
    </w:p>
    <w:p w:rsidR="00FE73C2" w:rsidRPr="00D07C7C" w:rsidRDefault="00065A11" w:rsidP="00D07C7C">
      <w:pPr>
        <w:pStyle w:val="ECHRHeading2"/>
        <w:rPr>
          <w:lang w:val="fr-FR"/>
        </w:rPr>
      </w:pPr>
      <w:r w:rsidRPr="00D07C7C">
        <w:rPr>
          <w:lang w:val="fr-FR"/>
        </w:rPr>
        <w:t>F</w:t>
      </w:r>
      <w:r w:rsidR="00FE73C2" w:rsidRPr="00D07C7C">
        <w:rPr>
          <w:lang w:val="fr-FR"/>
        </w:rPr>
        <w:t>.  La procédure pénale engagée contre des membres des forces de l</w:t>
      </w:r>
      <w:r w:rsidR="00D07C7C" w:rsidRPr="00D07C7C">
        <w:rPr>
          <w:lang w:val="fr-FR"/>
        </w:rPr>
        <w:t>’</w:t>
      </w:r>
      <w:r w:rsidR="00FE73C2" w:rsidRPr="00D07C7C">
        <w:rPr>
          <w:lang w:val="fr-FR"/>
        </w:rPr>
        <w:t>ordre pour l</w:t>
      </w:r>
      <w:r w:rsidR="00D07C7C" w:rsidRPr="00D07C7C">
        <w:rPr>
          <w:lang w:val="fr-FR"/>
        </w:rPr>
        <w:t>’</w:t>
      </w:r>
      <w:r w:rsidR="00FE73C2" w:rsidRPr="00D07C7C">
        <w:rPr>
          <w:lang w:val="fr-FR"/>
        </w:rPr>
        <w:t>irruption dans les écoles Diaz-Pertini et Pascoli</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65</w:t>
      </w:r>
      <w:r w:rsidRPr="00D07C7C">
        <w:rPr>
          <w:lang w:val="fr-FR"/>
        </w:rPr>
        <w:fldChar w:fldCharType="end"/>
      </w:r>
      <w:r w:rsidRPr="00D07C7C">
        <w:rPr>
          <w:lang w:val="fr-FR"/>
        </w:rPr>
        <w:t>.  Le parquet de Gênes ouvrit une enquête en vue d</w:t>
      </w:r>
      <w:r w:rsidR="00D07C7C" w:rsidRPr="00D07C7C">
        <w:rPr>
          <w:lang w:val="fr-FR"/>
        </w:rPr>
        <w:t>’</w:t>
      </w:r>
      <w:r w:rsidRPr="00D07C7C">
        <w:rPr>
          <w:lang w:val="fr-FR"/>
        </w:rPr>
        <w:t>établir les éléments sur lesquels s</w:t>
      </w:r>
      <w:r w:rsidR="00D07C7C" w:rsidRPr="00D07C7C">
        <w:rPr>
          <w:lang w:val="fr-FR"/>
        </w:rPr>
        <w:t>’</w:t>
      </w:r>
      <w:r w:rsidRPr="00D07C7C">
        <w:rPr>
          <w:lang w:val="fr-FR"/>
        </w:rPr>
        <w:t>était fondée la décision de faire irruption dans l</w:t>
      </w:r>
      <w:r w:rsidR="00D07C7C" w:rsidRPr="00D07C7C">
        <w:rPr>
          <w:lang w:val="fr-FR"/>
        </w:rPr>
        <w:t>’</w:t>
      </w:r>
      <w:r w:rsidR="00BE7CE0" w:rsidRPr="00D07C7C">
        <w:rPr>
          <w:lang w:val="fr-FR"/>
        </w:rPr>
        <w:t>école Diaz</w:t>
      </w:r>
      <w:r w:rsidR="00BE7CE0" w:rsidRPr="00D07C7C">
        <w:rPr>
          <w:lang w:val="fr-FR"/>
        </w:rPr>
        <w:noBreakHyphen/>
      </w:r>
      <w:r w:rsidRPr="00D07C7C">
        <w:rPr>
          <w:lang w:val="fr-FR"/>
        </w:rPr>
        <w:t>Pertini, et d</w:t>
      </w:r>
      <w:r w:rsidR="00D07C7C" w:rsidRPr="00D07C7C">
        <w:rPr>
          <w:lang w:val="fr-FR"/>
        </w:rPr>
        <w:t>’</w:t>
      </w:r>
      <w:r w:rsidRPr="00D07C7C">
        <w:rPr>
          <w:lang w:val="fr-FR"/>
        </w:rPr>
        <w:t>éclaircir les modalités d</w:t>
      </w:r>
      <w:r w:rsidR="00D07C7C" w:rsidRPr="00D07C7C">
        <w:rPr>
          <w:lang w:val="fr-FR"/>
        </w:rPr>
        <w:t>’</w:t>
      </w:r>
      <w:r w:rsidRPr="00D07C7C">
        <w:rPr>
          <w:lang w:val="fr-FR"/>
        </w:rPr>
        <w:t>exécution de l</w:t>
      </w:r>
      <w:r w:rsidR="00D07C7C" w:rsidRPr="00D07C7C">
        <w:rPr>
          <w:lang w:val="fr-FR"/>
        </w:rPr>
        <w:t>’</w:t>
      </w:r>
      <w:r w:rsidRPr="00D07C7C">
        <w:rPr>
          <w:lang w:val="fr-FR"/>
        </w:rPr>
        <w:t>opération, l</w:t>
      </w:r>
      <w:r w:rsidR="00D07C7C" w:rsidRPr="00D07C7C">
        <w:rPr>
          <w:lang w:val="fr-FR"/>
        </w:rPr>
        <w:t>’</w:t>
      </w:r>
      <w:r w:rsidRPr="00D07C7C">
        <w:rPr>
          <w:lang w:val="fr-FR"/>
        </w:rPr>
        <w:t>agression au couteau qui aurait été perpétrée contre l</w:t>
      </w:r>
      <w:r w:rsidR="00D07C7C" w:rsidRPr="00D07C7C">
        <w:rPr>
          <w:lang w:val="fr-FR"/>
        </w:rPr>
        <w:t>’</w:t>
      </w:r>
      <w:r w:rsidRPr="00D07C7C">
        <w:rPr>
          <w:lang w:val="fr-FR"/>
        </w:rPr>
        <w:t>un des agents et la découverte des deux cocktails Molotov, ainsi que les événements qui avaient eu lieu dans l</w:t>
      </w:r>
      <w:r w:rsidR="00D07C7C" w:rsidRPr="00D07C7C">
        <w:rPr>
          <w:lang w:val="fr-FR"/>
        </w:rPr>
        <w:t>’</w:t>
      </w:r>
      <w:r w:rsidRPr="00D07C7C">
        <w:rPr>
          <w:lang w:val="fr-FR"/>
        </w:rPr>
        <w:t>école Pascoli.</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66</w:t>
      </w:r>
      <w:r w:rsidRPr="00D07C7C">
        <w:rPr>
          <w:lang w:val="fr-FR"/>
        </w:rPr>
        <w:fldChar w:fldCharType="end"/>
      </w:r>
      <w:r w:rsidRPr="00D07C7C">
        <w:rPr>
          <w:lang w:val="fr-FR"/>
        </w:rPr>
        <w:t>.  En décembre 2004, après environ trois ans d</w:t>
      </w:r>
      <w:r w:rsidR="00D07C7C" w:rsidRPr="00D07C7C">
        <w:rPr>
          <w:lang w:val="fr-FR"/>
        </w:rPr>
        <w:t>’</w:t>
      </w:r>
      <w:r w:rsidRPr="00D07C7C">
        <w:rPr>
          <w:lang w:val="fr-FR"/>
        </w:rPr>
        <w:t>investigations, vingt-huit personnes parmi les fonctionnaires, cadres et agents des forces de l</w:t>
      </w:r>
      <w:r w:rsidR="00D07C7C" w:rsidRPr="00D07C7C">
        <w:rPr>
          <w:lang w:val="fr-FR"/>
        </w:rPr>
        <w:t>’</w:t>
      </w:r>
      <w:r w:rsidRPr="00D07C7C">
        <w:rPr>
          <w:lang w:val="fr-FR"/>
        </w:rPr>
        <w:t>ordre furent renvoyées en jugement. Par la suite, deux autres procédures concernant trois autres agents furent jointes à la première.</w:t>
      </w:r>
    </w:p>
    <w:p w:rsidR="00FE73C2" w:rsidRPr="00D07C7C" w:rsidRDefault="00FE73C2" w:rsidP="00D07C7C">
      <w:pPr>
        <w:pStyle w:val="ECHRPara"/>
        <w:rPr>
          <w:lang w:val="fr-FR"/>
        </w:rPr>
      </w:pPr>
      <w:r w:rsidRPr="00D07C7C">
        <w:rPr>
          <w:lang w:val="fr-FR"/>
        </w:rPr>
        <w:lastRenderedPageBreak/>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67</w:t>
      </w:r>
      <w:r w:rsidRPr="00D07C7C">
        <w:rPr>
          <w:lang w:val="fr-FR"/>
        </w:rPr>
        <w:fldChar w:fldCharType="end"/>
      </w:r>
      <w:r w:rsidRPr="00D07C7C">
        <w:rPr>
          <w:lang w:val="fr-FR"/>
        </w:rPr>
        <w:t>.  Les requérants se constituèrent parties civiles (au total, les parties civiles furent au nombre de 119). La procédure pénale relative aux événements survenus dans les écoles Diaz-Pertini et Pascoli requit l</w:t>
      </w:r>
      <w:r w:rsidR="00D07C7C" w:rsidRPr="00D07C7C">
        <w:rPr>
          <w:lang w:val="fr-FR"/>
        </w:rPr>
        <w:t>’</w:t>
      </w:r>
      <w:r w:rsidRPr="00D07C7C">
        <w:rPr>
          <w:lang w:val="fr-FR"/>
        </w:rPr>
        <w:t>examen d</w:t>
      </w:r>
      <w:r w:rsidR="00D07C7C" w:rsidRPr="00D07C7C">
        <w:rPr>
          <w:lang w:val="fr-FR"/>
        </w:rPr>
        <w:t>’</w:t>
      </w:r>
      <w:r w:rsidRPr="00D07C7C">
        <w:rPr>
          <w:lang w:val="fr-FR"/>
        </w:rPr>
        <w:t>un abondant matériel audiovisuel, deux expertises et l</w:t>
      </w:r>
      <w:r w:rsidR="00D07C7C" w:rsidRPr="00D07C7C">
        <w:rPr>
          <w:lang w:val="fr-FR"/>
        </w:rPr>
        <w:t>’</w:t>
      </w:r>
      <w:r w:rsidRPr="00D07C7C">
        <w:rPr>
          <w:lang w:val="fr-FR"/>
        </w:rPr>
        <w:t>audition de plus de 300 personnes parmi les accusés et les témoins (dont beaucoup de ressortissants étrangers).</w:t>
      </w:r>
    </w:p>
    <w:p w:rsidR="00FE73C2" w:rsidRPr="00D07C7C" w:rsidRDefault="00065A11" w:rsidP="00D07C7C">
      <w:pPr>
        <w:pStyle w:val="ECHRHeading3"/>
        <w:rPr>
          <w:lang w:val="fr-FR"/>
        </w:rPr>
      </w:pPr>
      <w:r w:rsidRPr="00D07C7C">
        <w:rPr>
          <w:lang w:val="fr-FR"/>
        </w:rPr>
        <w:t>1.</w:t>
      </w:r>
      <w:r w:rsidR="00FE73C2" w:rsidRPr="00D07C7C">
        <w:rPr>
          <w:lang w:val="fr-FR"/>
        </w:rPr>
        <w:t>  Sur les événements de l</w:t>
      </w:r>
      <w:r w:rsidR="00D07C7C" w:rsidRPr="00D07C7C">
        <w:rPr>
          <w:lang w:val="fr-FR"/>
        </w:rPr>
        <w:t>’</w:t>
      </w:r>
      <w:r w:rsidR="00FE73C2" w:rsidRPr="00D07C7C">
        <w:rPr>
          <w:lang w:val="fr-FR"/>
        </w:rPr>
        <w:t>école Diaz-Pertini</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68</w:t>
      </w:r>
      <w:r w:rsidRPr="00D07C7C">
        <w:rPr>
          <w:lang w:val="fr-FR"/>
        </w:rPr>
        <w:fldChar w:fldCharType="end"/>
      </w:r>
      <w:r w:rsidRPr="00D07C7C">
        <w:rPr>
          <w:lang w:val="fr-FR"/>
        </w:rPr>
        <w:t>.  Les chefs d</w:t>
      </w:r>
      <w:r w:rsidR="00D07C7C" w:rsidRPr="00D07C7C">
        <w:rPr>
          <w:lang w:val="fr-FR"/>
        </w:rPr>
        <w:t>’</w:t>
      </w:r>
      <w:r w:rsidRPr="00D07C7C">
        <w:rPr>
          <w:lang w:val="fr-FR"/>
        </w:rPr>
        <w:t>accusation retenus relativement aux événements de l</w:t>
      </w:r>
      <w:r w:rsidR="00D07C7C" w:rsidRPr="00D07C7C">
        <w:rPr>
          <w:lang w:val="fr-FR"/>
        </w:rPr>
        <w:t>’</w:t>
      </w:r>
      <w:r w:rsidRPr="00D07C7C">
        <w:rPr>
          <w:lang w:val="fr-FR"/>
        </w:rPr>
        <w:t>école Diaz-Pertini furent les suivants : faux intellectuel, calomnie simple et aggravée, abus d</w:t>
      </w:r>
      <w:r w:rsidR="00D07C7C" w:rsidRPr="00D07C7C">
        <w:rPr>
          <w:lang w:val="fr-FR"/>
        </w:rPr>
        <w:t>’</w:t>
      </w:r>
      <w:r w:rsidRPr="00D07C7C">
        <w:rPr>
          <w:lang w:val="fr-FR"/>
        </w:rPr>
        <w:t>autorité publique (notamment du fait de l</w:t>
      </w:r>
      <w:r w:rsidR="00D07C7C" w:rsidRPr="00D07C7C">
        <w:rPr>
          <w:lang w:val="fr-FR"/>
        </w:rPr>
        <w:t>’</w:t>
      </w:r>
      <w:r w:rsidRPr="00D07C7C">
        <w:rPr>
          <w:lang w:val="fr-FR"/>
        </w:rPr>
        <w:t>arrestation illégale des occupants), lésions corporelles simples et aggravées ainsi que port abusif d</w:t>
      </w:r>
      <w:r w:rsidR="00D07C7C" w:rsidRPr="00D07C7C">
        <w:rPr>
          <w:lang w:val="fr-FR"/>
        </w:rPr>
        <w:t>’</w:t>
      </w:r>
      <w:r w:rsidRPr="00D07C7C">
        <w:rPr>
          <w:lang w:val="fr-FR"/>
        </w:rPr>
        <w:t>armes de guerre.</w:t>
      </w:r>
    </w:p>
    <w:p w:rsidR="00FE73C2" w:rsidRPr="00D07C7C" w:rsidRDefault="00065A11" w:rsidP="00D07C7C">
      <w:pPr>
        <w:pStyle w:val="ECHRHeading4"/>
        <w:rPr>
          <w:lang w:val="fr-FR"/>
        </w:rPr>
      </w:pPr>
      <w:r w:rsidRPr="00D07C7C">
        <w:rPr>
          <w:lang w:val="fr-FR"/>
        </w:rPr>
        <w:t>a)</w:t>
      </w:r>
      <w:r w:rsidR="00FE73C2" w:rsidRPr="00D07C7C">
        <w:rPr>
          <w:lang w:val="fr-FR"/>
        </w:rPr>
        <w:t>  Le jugement de première instance</w:t>
      </w:r>
    </w:p>
    <w:bookmarkStart w:id="7" w:name="ENQUETE_PENALE"/>
    <w:p w:rsidR="00FE73C2" w:rsidRPr="00D07C7C" w:rsidRDefault="00FE73C2" w:rsidP="00D07C7C">
      <w:pPr>
        <w:pStyle w:val="ECHRPara"/>
        <w:rPr>
          <w:i/>
          <w:iCs/>
          <w:lang w:val="fr-FR"/>
        </w:rPr>
      </w:pPr>
      <w:r w:rsidRPr="00D07C7C">
        <w:fldChar w:fldCharType="begin"/>
      </w:r>
      <w:r w:rsidRPr="00D07C7C">
        <w:rPr>
          <w:lang w:val="fr-FR"/>
        </w:rPr>
        <w:instrText xml:space="preserve"> SEQ level0 \*arabic </w:instrText>
      </w:r>
      <w:r w:rsidRPr="00D07C7C">
        <w:fldChar w:fldCharType="separate"/>
      </w:r>
      <w:r w:rsidR="00D07C7C" w:rsidRPr="00D07C7C">
        <w:rPr>
          <w:noProof/>
          <w:lang w:val="fr-FR"/>
        </w:rPr>
        <w:t>69</w:t>
      </w:r>
      <w:r w:rsidRPr="00D07C7C">
        <w:fldChar w:fldCharType="end"/>
      </w:r>
      <w:bookmarkEnd w:id="7"/>
      <w:r w:rsidRPr="00D07C7C">
        <w:rPr>
          <w:lang w:val="fr-FR"/>
        </w:rPr>
        <w:t>.  Le 11 février 2009, par un jugement n</w:t>
      </w:r>
      <w:r w:rsidRPr="00D07C7C">
        <w:rPr>
          <w:vertAlign w:val="superscript"/>
          <w:lang w:val="fr-FR"/>
        </w:rPr>
        <w:t>o</w:t>
      </w:r>
      <w:r w:rsidRPr="00D07C7C">
        <w:rPr>
          <w:lang w:val="fr-FR"/>
        </w:rPr>
        <w:t xml:space="preserve"> 4252/08, le tribunal de Gênes condamna douze des prévenus à des peines comprises entre deux et quatre ans d</w:t>
      </w:r>
      <w:r w:rsidR="00D07C7C" w:rsidRPr="00D07C7C">
        <w:rPr>
          <w:lang w:val="fr-FR"/>
        </w:rPr>
        <w:t>’</w:t>
      </w:r>
      <w:r w:rsidRPr="00D07C7C">
        <w:rPr>
          <w:lang w:val="fr-FR"/>
        </w:rPr>
        <w:t>emprisonnement et, solidairement avec le ministère de l</w:t>
      </w:r>
      <w:r w:rsidR="00D07C7C" w:rsidRPr="00D07C7C">
        <w:rPr>
          <w:lang w:val="fr-FR"/>
        </w:rPr>
        <w:t>’</w:t>
      </w:r>
      <w:r w:rsidRPr="00D07C7C">
        <w:rPr>
          <w:lang w:val="fr-FR"/>
        </w:rPr>
        <w:t>Intérieur, au paiement des frais et dépens et au versement de dommages-intérêts aux parties civiles, auxquelles le tribunal accorda des prov</w:t>
      </w:r>
      <w:r w:rsidR="00BE7CE0" w:rsidRPr="00D07C7C">
        <w:rPr>
          <w:lang w:val="fr-FR"/>
        </w:rPr>
        <w:t>isions allant de 2 500 à 50 000 </w:t>
      </w:r>
      <w:r w:rsidRPr="00D07C7C">
        <w:rPr>
          <w:lang w:val="fr-FR"/>
        </w:rPr>
        <w:t>EUR. Un condamné bénéficia de la suspension conditionnelle de sa peine et de la non-mention dans le casier judiciaire. Par ailleurs, en application de la loi n</w:t>
      </w:r>
      <w:r w:rsidRPr="00D07C7C">
        <w:rPr>
          <w:vertAlign w:val="superscript"/>
          <w:lang w:val="fr-FR"/>
        </w:rPr>
        <w:t>o</w:t>
      </w:r>
      <w:r w:rsidRPr="00D07C7C">
        <w:rPr>
          <w:lang w:val="fr-FR"/>
        </w:rPr>
        <w:t> 241 du 29 juillet 2006 établissant les conditions à remplir pour l</w:t>
      </w:r>
      <w:r w:rsidR="00D07C7C" w:rsidRPr="00D07C7C">
        <w:rPr>
          <w:lang w:val="fr-FR"/>
        </w:rPr>
        <w:t>’</w:t>
      </w:r>
      <w:r w:rsidRPr="00D07C7C">
        <w:rPr>
          <w:lang w:val="fr-FR"/>
        </w:rPr>
        <w:t>octroi d</w:t>
      </w:r>
      <w:r w:rsidR="00D07C7C" w:rsidRPr="00D07C7C">
        <w:rPr>
          <w:lang w:val="fr-FR"/>
        </w:rPr>
        <w:t>’</w:t>
      </w:r>
      <w:r w:rsidRPr="00D07C7C">
        <w:rPr>
          <w:lang w:val="fr-FR"/>
        </w:rPr>
        <w:t>une remise générale des peines (</w:t>
      </w:r>
      <w:r w:rsidRPr="00D07C7C">
        <w:rPr>
          <w:i/>
          <w:iCs/>
          <w:lang w:val="fr-FR"/>
        </w:rPr>
        <w:t>indulto</w:t>
      </w:r>
      <w:r w:rsidRPr="00D07C7C">
        <w:rPr>
          <w:lang w:val="fr-FR"/>
        </w:rPr>
        <w:t>), dix des condamnés bénéficièrent d</w:t>
      </w:r>
      <w:r w:rsidR="00D07C7C" w:rsidRPr="00D07C7C">
        <w:rPr>
          <w:lang w:val="fr-FR"/>
        </w:rPr>
        <w:t>’</w:t>
      </w:r>
      <w:r w:rsidRPr="00D07C7C">
        <w:rPr>
          <w:lang w:val="fr-FR"/>
        </w:rPr>
        <w:t>une remise totale de leur peine principale et l</w:t>
      </w:r>
      <w:r w:rsidR="00D07C7C" w:rsidRPr="00D07C7C">
        <w:rPr>
          <w:lang w:val="fr-FR"/>
        </w:rPr>
        <w:t>’</w:t>
      </w:r>
      <w:r w:rsidRPr="00D07C7C">
        <w:rPr>
          <w:lang w:val="fr-FR"/>
        </w:rPr>
        <w:t>un d</w:t>
      </w:r>
      <w:r w:rsidR="00D07C7C" w:rsidRPr="00D07C7C">
        <w:rPr>
          <w:lang w:val="fr-FR"/>
        </w:rPr>
        <w:t>’</w:t>
      </w:r>
      <w:r w:rsidRPr="00D07C7C">
        <w:rPr>
          <w:lang w:val="fr-FR"/>
        </w:rPr>
        <w:t>eux, condamné à quatre ans d</w:t>
      </w:r>
      <w:r w:rsidR="00D07C7C" w:rsidRPr="00D07C7C">
        <w:rPr>
          <w:lang w:val="fr-FR"/>
        </w:rPr>
        <w:t>’</w:t>
      </w:r>
      <w:r w:rsidRPr="00D07C7C">
        <w:rPr>
          <w:lang w:val="fr-FR"/>
        </w:rPr>
        <w:t>emprisonnement, bénéficia d</w:t>
      </w:r>
      <w:r w:rsidR="00D07C7C" w:rsidRPr="00D07C7C">
        <w:rPr>
          <w:lang w:val="fr-FR"/>
        </w:rPr>
        <w:t>’</w:t>
      </w:r>
      <w:r w:rsidRPr="00D07C7C">
        <w:rPr>
          <w:lang w:val="fr-FR"/>
        </w:rPr>
        <w:t xml:space="preserve">une remise de peine de trois ans (pour une analyse plus détaillée, voir </w:t>
      </w:r>
      <w:r w:rsidRPr="00D07C7C">
        <w:rPr>
          <w:rStyle w:val="CLLItalic"/>
        </w:rPr>
        <w:t>Cestaro c. Italie</w:t>
      </w:r>
      <w:r w:rsidRPr="00D07C7C">
        <w:rPr>
          <w:snapToGrid w:val="0"/>
          <w:lang w:val="fr-FR"/>
        </w:rPr>
        <w:t xml:space="preserve">, </w:t>
      </w:r>
      <w:r w:rsidRPr="00D07C7C">
        <w:rPr>
          <w:lang w:val="fr-FR"/>
        </w:rPr>
        <w:t>précité</w:t>
      </w:r>
      <w:r w:rsidRPr="00D07C7C">
        <w:rPr>
          <w:snapToGrid w:val="0"/>
          <w:lang w:val="fr-FR"/>
        </w:rPr>
        <w:t>, §</w:t>
      </w:r>
      <w:r w:rsidR="00BE7CE0" w:rsidRPr="00D07C7C">
        <w:rPr>
          <w:snapToGrid w:val="0"/>
          <w:lang w:val="fr-FR"/>
        </w:rPr>
        <w:t>§ 49</w:t>
      </w:r>
      <w:r w:rsidR="00BE7CE0" w:rsidRPr="00D07C7C">
        <w:rPr>
          <w:snapToGrid w:val="0"/>
          <w:lang w:val="fr-FR"/>
        </w:rPr>
        <w:noBreakHyphen/>
      </w:r>
      <w:r w:rsidRPr="00D07C7C">
        <w:rPr>
          <w:snapToGrid w:val="0"/>
          <w:lang w:val="fr-FR"/>
        </w:rPr>
        <w:t>58)</w:t>
      </w:r>
      <w:r w:rsidRPr="00D07C7C">
        <w:rPr>
          <w:lang w:val="fr-FR"/>
        </w:rPr>
        <w:t>.</w:t>
      </w:r>
    </w:p>
    <w:bookmarkStart w:id="8" w:name="MOTIVATION_PREMIERE_INSTANCE_1"/>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70</w:t>
      </w:r>
      <w:r w:rsidRPr="00D07C7C">
        <w:rPr>
          <w:lang w:val="fr-FR"/>
        </w:rPr>
        <w:fldChar w:fldCharType="end"/>
      </w:r>
      <w:bookmarkEnd w:id="8"/>
      <w:r w:rsidRPr="00D07C7C">
        <w:rPr>
          <w:lang w:val="fr-FR"/>
        </w:rPr>
        <w:t>.  Dans les motifs du jugement, le tribunal considéra que les forces de l</w:t>
      </w:r>
      <w:r w:rsidR="00D07C7C" w:rsidRPr="00D07C7C">
        <w:rPr>
          <w:lang w:val="fr-FR"/>
        </w:rPr>
        <w:t>’</w:t>
      </w:r>
      <w:r w:rsidRPr="00D07C7C">
        <w:rPr>
          <w:lang w:val="fr-FR"/>
        </w:rPr>
        <w:t>ordre pouvaient croire, compte tenu des événements qui avaient précédé l</w:t>
      </w:r>
      <w:r w:rsidR="00D07C7C" w:rsidRPr="00D07C7C">
        <w:rPr>
          <w:lang w:val="fr-FR"/>
        </w:rPr>
        <w:t>’</w:t>
      </w:r>
      <w:r w:rsidRPr="00D07C7C">
        <w:rPr>
          <w:lang w:val="fr-FR"/>
        </w:rPr>
        <w:t xml:space="preserve">irruption (paragraphe </w:t>
      </w:r>
      <w:r w:rsidRPr="00D07C7C">
        <w:rPr>
          <w:lang w:val="fr-FR"/>
        </w:rPr>
        <w:fldChar w:fldCharType="begin"/>
      </w:r>
      <w:r w:rsidRPr="00D07C7C">
        <w:rPr>
          <w:lang w:val="fr-FR"/>
        </w:rPr>
        <w:instrText xml:space="preserve"> REF EPISODE_JUSTIFIANT_OPERATION \h </w:instrText>
      </w:r>
      <w:r w:rsidRPr="00D07C7C">
        <w:rPr>
          <w:lang w:val="fr-FR"/>
        </w:rPr>
      </w:r>
      <w:r w:rsidRPr="00D07C7C">
        <w:rPr>
          <w:lang w:val="fr-FR"/>
        </w:rPr>
        <w:fldChar w:fldCharType="separate"/>
      </w:r>
      <w:r w:rsidR="00D07C7C" w:rsidRPr="00D07C7C">
        <w:rPr>
          <w:noProof/>
          <w:lang w:val="fr-FR"/>
        </w:rPr>
        <w:t>11</w:t>
      </w:r>
      <w:r w:rsidRPr="00D07C7C">
        <w:rPr>
          <w:lang w:val="fr-FR"/>
        </w:rPr>
        <w:fldChar w:fldCharType="end"/>
      </w:r>
      <w:r w:rsidRPr="00D07C7C">
        <w:rPr>
          <w:lang w:val="fr-FR"/>
        </w:rPr>
        <w:t xml:space="preserve"> ci-dessus), que l</w:t>
      </w:r>
      <w:r w:rsidR="00D07C7C" w:rsidRPr="00D07C7C">
        <w:rPr>
          <w:lang w:val="fr-FR"/>
        </w:rPr>
        <w:t>’</w:t>
      </w:r>
      <w:r w:rsidRPr="00D07C7C">
        <w:rPr>
          <w:lang w:val="fr-FR"/>
        </w:rPr>
        <w:t>école Diaz-Pertini hébergeait aussi des membres du « bloc noir ». Il estima cependant que les événements litigieux constituaient une violation claire à la fois de la loi, « de la dignité humaine et du respect de la personne » (</w:t>
      </w:r>
      <w:r w:rsidRPr="00D07C7C">
        <w:rPr>
          <w:i/>
          <w:lang w:val="fr-FR"/>
        </w:rPr>
        <w:t>di ogni principio di umanità e di rispetto delle persone</w:t>
      </w:r>
      <w:r w:rsidRPr="00D07C7C">
        <w:rPr>
          <w:lang w:val="fr-FR"/>
        </w:rPr>
        <w:t>). En outre, selon lui, les auteurs matériels avaient agi avec la conviction que leurs supérieurs toléraient leurs actes car certains fonctionnaires et cadres de la police, présents sur les lieux dès le début des opérations, n</w:t>
      </w:r>
      <w:r w:rsidR="00D07C7C" w:rsidRPr="00D07C7C">
        <w:rPr>
          <w:lang w:val="fr-FR"/>
        </w:rPr>
        <w:t>’</w:t>
      </w:r>
      <w:r w:rsidRPr="00D07C7C">
        <w:rPr>
          <w:lang w:val="fr-FR"/>
        </w:rPr>
        <w:t>avaient pas immédiatement empêché la poursuite des violences.</w:t>
      </w:r>
      <w:bookmarkStart w:id="9" w:name="DIFFICULTES_JUGES"/>
    </w:p>
    <w:bookmarkEnd w:id="9"/>
    <w:p w:rsidR="00FE73C2" w:rsidRPr="00D07C7C" w:rsidRDefault="00065A11" w:rsidP="00D07C7C">
      <w:pPr>
        <w:pStyle w:val="ECHRHeading4"/>
        <w:rPr>
          <w:lang w:val="fr-FR"/>
        </w:rPr>
      </w:pPr>
      <w:r w:rsidRPr="00D07C7C">
        <w:rPr>
          <w:lang w:val="fr-FR"/>
        </w:rPr>
        <w:t>b)</w:t>
      </w:r>
      <w:r w:rsidR="00FE73C2" w:rsidRPr="00D07C7C">
        <w:rPr>
          <w:lang w:val="fr-FR"/>
        </w:rPr>
        <w:t>  L</w:t>
      </w:r>
      <w:r w:rsidR="00D07C7C" w:rsidRPr="00D07C7C">
        <w:rPr>
          <w:lang w:val="fr-FR"/>
        </w:rPr>
        <w:t>’</w:t>
      </w:r>
      <w:r w:rsidR="00FE73C2" w:rsidRPr="00D07C7C">
        <w:rPr>
          <w:lang w:val="fr-FR"/>
        </w:rPr>
        <w:t>arrêt d</w:t>
      </w:r>
      <w:r w:rsidR="00D07C7C" w:rsidRPr="00D07C7C">
        <w:rPr>
          <w:lang w:val="fr-FR"/>
        </w:rPr>
        <w:t>’</w:t>
      </w:r>
      <w:r w:rsidR="00FE73C2" w:rsidRPr="00D07C7C">
        <w:rPr>
          <w:lang w:val="fr-FR"/>
        </w:rPr>
        <w:t>appel</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71</w:t>
      </w:r>
      <w:r w:rsidRPr="00D07C7C">
        <w:rPr>
          <w:lang w:val="fr-FR"/>
        </w:rPr>
        <w:fldChar w:fldCharType="end"/>
      </w:r>
      <w:r w:rsidRPr="00D07C7C">
        <w:rPr>
          <w:lang w:val="fr-FR"/>
        </w:rPr>
        <w:t>.  Le 31 juillet 2010, la cour d</w:t>
      </w:r>
      <w:r w:rsidR="00D07C7C" w:rsidRPr="00D07C7C">
        <w:rPr>
          <w:lang w:val="fr-FR"/>
        </w:rPr>
        <w:t>’</w:t>
      </w:r>
      <w:r w:rsidRPr="00D07C7C">
        <w:rPr>
          <w:lang w:val="fr-FR"/>
        </w:rPr>
        <w:t xml:space="preserve">appel de Gênes, par son </w:t>
      </w:r>
      <w:r w:rsidRPr="00D07C7C">
        <w:rPr>
          <w:szCs w:val="24"/>
          <w:lang w:val="fr-FR"/>
        </w:rPr>
        <w:t>arrêt n</w:t>
      </w:r>
      <w:r w:rsidRPr="00D07C7C">
        <w:rPr>
          <w:szCs w:val="24"/>
          <w:vertAlign w:val="superscript"/>
          <w:lang w:val="fr-FR"/>
        </w:rPr>
        <w:t>o</w:t>
      </w:r>
      <w:r w:rsidRPr="00D07C7C">
        <w:rPr>
          <w:szCs w:val="24"/>
          <w:lang w:val="fr-FR"/>
        </w:rPr>
        <w:t> 1530/10,</w:t>
      </w:r>
      <w:r w:rsidRPr="00D07C7C">
        <w:rPr>
          <w:lang w:val="fr-FR"/>
        </w:rPr>
        <w:t xml:space="preserve"> réforma partiellement le jugement entrepris (voir </w:t>
      </w:r>
      <w:r w:rsidRPr="00D07C7C">
        <w:rPr>
          <w:i/>
          <w:lang w:val="fr-FR"/>
        </w:rPr>
        <w:t>Cestaro</w:t>
      </w:r>
      <w:r w:rsidRPr="00D07C7C">
        <w:rPr>
          <w:lang w:val="fr-FR"/>
        </w:rPr>
        <w:t>, précité, §§ 59-74).</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72</w:t>
      </w:r>
      <w:r w:rsidRPr="00D07C7C">
        <w:rPr>
          <w:lang w:val="fr-FR"/>
        </w:rPr>
        <w:fldChar w:fldCharType="end"/>
      </w:r>
      <w:r w:rsidRPr="00D07C7C">
        <w:rPr>
          <w:lang w:val="fr-FR"/>
        </w:rPr>
        <w:t>.  En particulier, en raison de l</w:t>
      </w:r>
      <w:r w:rsidR="00D07C7C" w:rsidRPr="00D07C7C">
        <w:rPr>
          <w:lang w:val="fr-FR"/>
        </w:rPr>
        <w:t>’</w:t>
      </w:r>
      <w:r w:rsidRPr="00D07C7C">
        <w:rPr>
          <w:lang w:val="fr-FR"/>
        </w:rPr>
        <w:t xml:space="preserve">arrivée à échéance du délai de prescription, elle prononça un non-lieu pour les délits de calomnie aggravée </w:t>
      </w:r>
      <w:r w:rsidRPr="00D07C7C">
        <w:rPr>
          <w:lang w:val="fr-FR"/>
        </w:rPr>
        <w:lastRenderedPageBreak/>
        <w:t>(quatorz</w:t>
      </w:r>
      <w:r w:rsidR="00BE7CE0" w:rsidRPr="00D07C7C">
        <w:rPr>
          <w:lang w:val="fr-FR"/>
        </w:rPr>
        <w:t xml:space="preserve">e </w:t>
      </w:r>
      <w:r w:rsidRPr="00D07C7C">
        <w:rPr>
          <w:lang w:val="fr-FR"/>
        </w:rPr>
        <w:t>accusés), d</w:t>
      </w:r>
      <w:r w:rsidR="00D07C7C" w:rsidRPr="00D07C7C">
        <w:rPr>
          <w:lang w:val="fr-FR"/>
        </w:rPr>
        <w:t>’</w:t>
      </w:r>
      <w:r w:rsidRPr="00D07C7C">
        <w:rPr>
          <w:lang w:val="fr-FR"/>
        </w:rPr>
        <w:t>abus d</w:t>
      </w:r>
      <w:r w:rsidR="00D07C7C" w:rsidRPr="00D07C7C">
        <w:rPr>
          <w:lang w:val="fr-FR"/>
        </w:rPr>
        <w:t>’</w:t>
      </w:r>
      <w:r w:rsidRPr="00D07C7C">
        <w:rPr>
          <w:lang w:val="fr-FR"/>
        </w:rPr>
        <w:t>autorité publique du fait de l</w:t>
      </w:r>
      <w:r w:rsidR="00D07C7C" w:rsidRPr="00D07C7C">
        <w:rPr>
          <w:lang w:val="fr-FR"/>
        </w:rPr>
        <w:t>’</w:t>
      </w:r>
      <w:r w:rsidRPr="00D07C7C">
        <w:rPr>
          <w:lang w:val="fr-FR"/>
        </w:rPr>
        <w:t>arrestation illégale des occupants de l</w:t>
      </w:r>
      <w:r w:rsidR="00D07C7C" w:rsidRPr="00D07C7C">
        <w:rPr>
          <w:lang w:val="fr-FR"/>
        </w:rPr>
        <w:t>’</w:t>
      </w:r>
      <w:r w:rsidRPr="00D07C7C">
        <w:rPr>
          <w:lang w:val="fr-FR"/>
        </w:rPr>
        <w:t>école Diaz-Pertini (douze accusés) et de lésions simples (neuf accusés).</w:t>
      </w:r>
    </w:p>
    <w:bookmarkStart w:id="10" w:name="BUT_OPERATION_POLICE"/>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73</w:t>
      </w:r>
      <w:r w:rsidRPr="00D07C7C">
        <w:rPr>
          <w:lang w:val="fr-FR"/>
        </w:rPr>
        <w:fldChar w:fldCharType="end"/>
      </w:r>
      <w:bookmarkEnd w:id="10"/>
      <w:r w:rsidRPr="00D07C7C">
        <w:rPr>
          <w:lang w:val="fr-FR"/>
        </w:rPr>
        <w:t>.  Selon la cour d</w:t>
      </w:r>
      <w:r w:rsidR="00D07C7C" w:rsidRPr="00D07C7C">
        <w:rPr>
          <w:lang w:val="fr-FR"/>
        </w:rPr>
        <w:t>’</w:t>
      </w:r>
      <w:r w:rsidRPr="00D07C7C">
        <w:rPr>
          <w:lang w:val="fr-FR"/>
        </w:rPr>
        <w:t>appel, plusieurs éléments démontraient que le but principal de toute l</w:t>
      </w:r>
      <w:r w:rsidR="00D07C7C" w:rsidRPr="00D07C7C">
        <w:rPr>
          <w:lang w:val="fr-FR"/>
        </w:rPr>
        <w:t>’</w:t>
      </w:r>
      <w:r w:rsidRPr="00D07C7C">
        <w:rPr>
          <w:lang w:val="fr-FR"/>
        </w:rPr>
        <w:t>opération était de procéder à de nombreuses arrestations, même en l</w:t>
      </w:r>
      <w:r w:rsidR="00D07C7C" w:rsidRPr="00D07C7C">
        <w:rPr>
          <w:lang w:val="fr-FR"/>
        </w:rPr>
        <w:t>’</w:t>
      </w:r>
      <w:r w:rsidRPr="00D07C7C">
        <w:rPr>
          <w:lang w:val="fr-FR"/>
        </w:rPr>
        <w:t>absence de finalité d</w:t>
      </w:r>
      <w:r w:rsidR="00D07C7C" w:rsidRPr="00D07C7C">
        <w:rPr>
          <w:lang w:val="fr-FR"/>
        </w:rPr>
        <w:t>’</w:t>
      </w:r>
      <w:r w:rsidRPr="00D07C7C">
        <w:rPr>
          <w:lang w:val="fr-FR"/>
        </w:rPr>
        <w:t>ordre judiciaire, l</w:t>
      </w:r>
      <w:r w:rsidR="00D07C7C" w:rsidRPr="00D07C7C">
        <w:rPr>
          <w:lang w:val="fr-FR"/>
        </w:rPr>
        <w:t>’</w:t>
      </w:r>
      <w:r w:rsidRPr="00D07C7C">
        <w:rPr>
          <w:lang w:val="fr-FR"/>
        </w:rPr>
        <w:t>essentiel étant que les forces de l</w:t>
      </w:r>
      <w:r w:rsidR="00D07C7C" w:rsidRPr="00D07C7C">
        <w:rPr>
          <w:lang w:val="fr-FR"/>
        </w:rPr>
        <w:t>’</w:t>
      </w:r>
      <w:r w:rsidRPr="00D07C7C">
        <w:rPr>
          <w:lang w:val="fr-FR"/>
        </w:rPr>
        <w:t>ordre parviennent à restaurer auprès des médias l</w:t>
      </w:r>
      <w:r w:rsidR="00D07C7C" w:rsidRPr="00D07C7C">
        <w:rPr>
          <w:lang w:val="fr-FR"/>
        </w:rPr>
        <w:t>’</w:t>
      </w:r>
      <w:r w:rsidRPr="00D07C7C">
        <w:rPr>
          <w:lang w:val="fr-FR"/>
        </w:rPr>
        <w:t>image d</w:t>
      </w:r>
      <w:r w:rsidR="00D07C7C" w:rsidRPr="00D07C7C">
        <w:rPr>
          <w:lang w:val="fr-FR"/>
        </w:rPr>
        <w:t>’</w:t>
      </w:r>
      <w:r w:rsidRPr="00D07C7C">
        <w:rPr>
          <w:lang w:val="fr-FR"/>
        </w:rPr>
        <w:t>une police perçue comme impuissante. Les plus hauts fonctionnaires des forces de l</w:t>
      </w:r>
      <w:r w:rsidR="00D07C7C" w:rsidRPr="00D07C7C">
        <w:rPr>
          <w:lang w:val="fr-FR"/>
        </w:rPr>
        <w:t>’</w:t>
      </w:r>
      <w:r w:rsidRPr="00D07C7C">
        <w:rPr>
          <w:lang w:val="fr-FR"/>
        </w:rPr>
        <w:t xml:space="preserve">ordre auraient donc rassemblé autour du </w:t>
      </w:r>
      <w:r w:rsidRPr="00D07C7C">
        <w:rPr>
          <w:i/>
          <w:lang w:val="fr-FR"/>
        </w:rPr>
        <w:t xml:space="preserve">VII Nucleo antisommossa </w:t>
      </w:r>
      <w:r w:rsidRPr="00D07C7C">
        <w:rPr>
          <w:lang w:val="fr-FR"/>
        </w:rPr>
        <w:t xml:space="preserve">une unité lourdement armée, équipée de matraques de type </w:t>
      </w:r>
      <w:r w:rsidRPr="00D07C7C">
        <w:rPr>
          <w:i/>
          <w:lang w:val="fr-FR"/>
        </w:rPr>
        <w:t>tonfa</w:t>
      </w:r>
      <w:r w:rsidRPr="00D07C7C">
        <w:rPr>
          <w:lang w:val="fr-FR"/>
        </w:rPr>
        <w:t xml:space="preserve"> dont les coups pouvaient être mortels, et lui auraient donné pour unique consigne de neutraliser les occupants de l</w:t>
      </w:r>
      <w:r w:rsidR="00D07C7C" w:rsidRPr="00D07C7C">
        <w:rPr>
          <w:lang w:val="fr-FR"/>
        </w:rPr>
        <w:t>’</w:t>
      </w:r>
      <w:r w:rsidRPr="00D07C7C">
        <w:rPr>
          <w:lang w:val="fr-FR"/>
        </w:rPr>
        <w:t>école Diaz-Pertini, en stigmatisant ceux-ci comme étant de dangereux casseurs, auteurs des saccages des jours précédents.</w:t>
      </w:r>
      <w:r w:rsidR="00BE7CE0" w:rsidRPr="00D07C7C">
        <w:rPr>
          <w:lang w:val="fr-FR"/>
        </w:rPr>
        <w:t xml:space="preserve"> </w:t>
      </w:r>
      <w:r w:rsidRPr="00D07C7C">
        <w:rPr>
          <w:lang w:val="fr-FR"/>
        </w:rPr>
        <w:t>Ainsi, d</w:t>
      </w:r>
      <w:r w:rsidR="00D07C7C" w:rsidRPr="00D07C7C">
        <w:rPr>
          <w:lang w:val="fr-FR"/>
        </w:rPr>
        <w:t>’</w:t>
      </w:r>
      <w:r w:rsidRPr="00D07C7C">
        <w:rPr>
          <w:lang w:val="fr-FR"/>
        </w:rPr>
        <w:t>après la cour d</w:t>
      </w:r>
      <w:r w:rsidR="00D07C7C" w:rsidRPr="00D07C7C">
        <w:rPr>
          <w:lang w:val="fr-FR"/>
        </w:rPr>
        <w:t>’</w:t>
      </w:r>
      <w:r w:rsidRPr="00D07C7C">
        <w:rPr>
          <w:lang w:val="fr-FR"/>
        </w:rPr>
        <w:t xml:space="preserve">appel, au moins tous les fonctionnaires en chef et les cadres du </w:t>
      </w:r>
      <w:r w:rsidRPr="00D07C7C">
        <w:rPr>
          <w:i/>
          <w:lang w:val="fr-FR"/>
        </w:rPr>
        <w:t>VII Nucleo antisommossa</w:t>
      </w:r>
      <w:r w:rsidRPr="00D07C7C">
        <w:rPr>
          <w:lang w:val="fr-FR"/>
        </w:rPr>
        <w:t xml:space="preserve"> étaient coupables des lésions infligées aux occupants. Quant aux responsables de la police de rangs plus élevés, la cour d</w:t>
      </w:r>
      <w:r w:rsidR="00D07C7C" w:rsidRPr="00D07C7C">
        <w:rPr>
          <w:lang w:val="fr-FR"/>
        </w:rPr>
        <w:t>’</w:t>
      </w:r>
      <w:r w:rsidRPr="00D07C7C">
        <w:rPr>
          <w:lang w:val="fr-FR"/>
        </w:rPr>
        <w:t>appel précisa que la décision de ne pas demander leur renvoi en jugement empêchait d</w:t>
      </w:r>
      <w:r w:rsidR="00D07C7C" w:rsidRPr="00D07C7C">
        <w:rPr>
          <w:lang w:val="fr-FR"/>
        </w:rPr>
        <w:t>’</w:t>
      </w:r>
      <w:r w:rsidRPr="00D07C7C">
        <w:rPr>
          <w:lang w:val="fr-FR"/>
        </w:rPr>
        <w:t>apprécier leur responsabilité au pénal.</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74</w:t>
      </w:r>
      <w:r w:rsidRPr="00D07C7C">
        <w:rPr>
          <w:lang w:val="fr-FR"/>
        </w:rPr>
        <w:fldChar w:fldCharType="end"/>
      </w:r>
      <w:r w:rsidRPr="00D07C7C">
        <w:rPr>
          <w:lang w:val="fr-FR"/>
        </w:rPr>
        <w:t>.  Dans la détermination des peines à infliger, la cour d</w:t>
      </w:r>
      <w:r w:rsidR="00D07C7C" w:rsidRPr="00D07C7C">
        <w:rPr>
          <w:lang w:val="fr-FR"/>
        </w:rPr>
        <w:t>’</w:t>
      </w:r>
      <w:r w:rsidRPr="00D07C7C">
        <w:rPr>
          <w:lang w:val="fr-FR"/>
        </w:rPr>
        <w:t>appel, s</w:t>
      </w:r>
      <w:r w:rsidR="00D07C7C" w:rsidRPr="00D07C7C">
        <w:rPr>
          <w:lang w:val="fr-FR"/>
        </w:rPr>
        <w:t>’</w:t>
      </w:r>
      <w:r w:rsidRPr="00D07C7C">
        <w:rPr>
          <w:lang w:val="fr-FR"/>
        </w:rPr>
        <w:t>appuyant notamment sur les déclarations recueillies, souligna que les agents des forces de l</w:t>
      </w:r>
      <w:r w:rsidR="00D07C7C" w:rsidRPr="00D07C7C">
        <w:rPr>
          <w:lang w:val="fr-FR"/>
        </w:rPr>
        <w:t>’</w:t>
      </w:r>
      <w:r w:rsidRPr="00D07C7C">
        <w:rPr>
          <w:lang w:val="fr-FR"/>
        </w:rPr>
        <w:t>ordre s</w:t>
      </w:r>
      <w:r w:rsidR="00D07C7C" w:rsidRPr="00D07C7C">
        <w:rPr>
          <w:lang w:val="fr-FR"/>
        </w:rPr>
        <w:t>’</w:t>
      </w:r>
      <w:r w:rsidRPr="00D07C7C">
        <w:rPr>
          <w:lang w:val="fr-FR"/>
        </w:rPr>
        <w:t>étaient transformés en « matraqueurs violents », indifférents à toute vulnérabilité physique liée au sexe et à l</w:t>
      </w:r>
      <w:r w:rsidR="00D07C7C" w:rsidRPr="00D07C7C">
        <w:rPr>
          <w:lang w:val="fr-FR"/>
        </w:rPr>
        <w:t>’</w:t>
      </w:r>
      <w:r w:rsidRPr="00D07C7C">
        <w:rPr>
          <w:lang w:val="fr-FR"/>
        </w:rPr>
        <w:t>âge ainsi qu</w:t>
      </w:r>
      <w:r w:rsidR="00D07C7C" w:rsidRPr="00D07C7C">
        <w:rPr>
          <w:lang w:val="fr-FR"/>
        </w:rPr>
        <w:t>’</w:t>
      </w:r>
      <w:r w:rsidRPr="00D07C7C">
        <w:rPr>
          <w:lang w:val="fr-FR"/>
        </w:rPr>
        <w:t>à tout signe de capitulation, même de la part de personnes que le bruit de l</w:t>
      </w:r>
      <w:r w:rsidR="00D07C7C" w:rsidRPr="00D07C7C">
        <w:rPr>
          <w:lang w:val="fr-FR"/>
        </w:rPr>
        <w:t>’</w:t>
      </w:r>
      <w:r w:rsidRPr="00D07C7C">
        <w:rPr>
          <w:lang w:val="fr-FR"/>
        </w:rPr>
        <w:t>assaut venait de réveiller brusquement. Elle indiqua que, à cela, les agents avaient ajouté injures et menaces. Ce faisant, ils auraient jeté sur l</w:t>
      </w:r>
      <w:r w:rsidR="00D07C7C" w:rsidRPr="00D07C7C">
        <w:rPr>
          <w:lang w:val="fr-FR"/>
        </w:rPr>
        <w:t>’</w:t>
      </w:r>
      <w:r w:rsidRPr="00D07C7C">
        <w:rPr>
          <w:lang w:val="fr-FR"/>
        </w:rPr>
        <w:t>Italie le discrédit de l</w:t>
      </w:r>
      <w:r w:rsidR="00D07C7C" w:rsidRPr="00D07C7C">
        <w:rPr>
          <w:lang w:val="fr-FR"/>
        </w:rPr>
        <w:t>’</w:t>
      </w:r>
      <w:r w:rsidRPr="00D07C7C">
        <w:rPr>
          <w:lang w:val="fr-FR"/>
        </w:rPr>
        <w:t>opinion publique internationale. De surcroît, une fois les violences perpétrées, les forces de l</w:t>
      </w:r>
      <w:r w:rsidR="00D07C7C" w:rsidRPr="00D07C7C">
        <w:rPr>
          <w:lang w:val="fr-FR"/>
        </w:rPr>
        <w:t>’</w:t>
      </w:r>
      <w:r w:rsidRPr="00D07C7C">
        <w:rPr>
          <w:lang w:val="fr-FR"/>
        </w:rPr>
        <w:t>ordre auraient avancé toute une série de circonstances à la charge des occupants, inventées de toutes pièces.</w:t>
      </w:r>
    </w:p>
    <w:p w:rsidR="00FE73C2" w:rsidRPr="00D07C7C" w:rsidRDefault="00065A11" w:rsidP="00D07C7C">
      <w:pPr>
        <w:pStyle w:val="ECHRHeading4"/>
        <w:rPr>
          <w:lang w:val="fr-FR"/>
        </w:rPr>
      </w:pPr>
      <w:r w:rsidRPr="00D07C7C">
        <w:rPr>
          <w:lang w:val="fr-FR"/>
        </w:rPr>
        <w:t>c)</w:t>
      </w:r>
      <w:r w:rsidR="00FE73C2" w:rsidRPr="00D07C7C">
        <w:rPr>
          <w:lang w:val="fr-FR"/>
        </w:rPr>
        <w:t>  L</w:t>
      </w:r>
      <w:r w:rsidR="00D07C7C" w:rsidRPr="00D07C7C">
        <w:rPr>
          <w:lang w:val="fr-FR"/>
        </w:rPr>
        <w:t>’</w:t>
      </w:r>
      <w:r w:rsidR="00FE73C2" w:rsidRPr="00D07C7C">
        <w:rPr>
          <w:lang w:val="fr-FR"/>
        </w:rPr>
        <w:t>arrêt de la Cour de cassation</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75</w:t>
      </w:r>
      <w:r w:rsidRPr="00D07C7C">
        <w:rPr>
          <w:lang w:val="fr-FR"/>
        </w:rPr>
        <w:fldChar w:fldCharType="end"/>
      </w:r>
      <w:r w:rsidRPr="00D07C7C">
        <w:rPr>
          <w:lang w:val="fr-FR"/>
        </w:rPr>
        <w:t>.  Par un arrêt n</w:t>
      </w:r>
      <w:r w:rsidRPr="00D07C7C">
        <w:rPr>
          <w:vertAlign w:val="superscript"/>
          <w:lang w:val="fr-FR"/>
        </w:rPr>
        <w:t>o</w:t>
      </w:r>
      <w:r w:rsidRPr="00D07C7C">
        <w:rPr>
          <w:lang w:val="fr-FR"/>
        </w:rPr>
        <w:t xml:space="preserve"> 38085 du 5 juillet 2012, déposé le 2 octobre 2012, la Cour de cassation confirma pour l</w:t>
      </w:r>
      <w:r w:rsidR="00D07C7C" w:rsidRPr="00D07C7C">
        <w:rPr>
          <w:lang w:val="fr-FR"/>
        </w:rPr>
        <w:t>’</w:t>
      </w:r>
      <w:r w:rsidRPr="00D07C7C">
        <w:rPr>
          <w:lang w:val="fr-FR"/>
        </w:rPr>
        <w:t>essentiel l</w:t>
      </w:r>
      <w:r w:rsidR="00D07C7C" w:rsidRPr="00D07C7C">
        <w:rPr>
          <w:lang w:val="fr-FR"/>
        </w:rPr>
        <w:t>’</w:t>
      </w:r>
      <w:r w:rsidRPr="00D07C7C">
        <w:rPr>
          <w:lang w:val="fr-FR"/>
        </w:rPr>
        <w:t xml:space="preserve">arrêt entrepris, déclarant toutefois prescrit le délit de lésions aggravées (pour une analyse plus détaillée, voir </w:t>
      </w:r>
      <w:r w:rsidRPr="00D07C7C">
        <w:rPr>
          <w:i/>
          <w:lang w:val="fr-FR"/>
        </w:rPr>
        <w:t>Cestaro</w:t>
      </w:r>
      <w:r w:rsidRPr="00D07C7C">
        <w:rPr>
          <w:lang w:val="fr-FR"/>
        </w:rPr>
        <w:t>, précité, §§ 75-80).</w:t>
      </w:r>
    </w:p>
    <w:bookmarkStart w:id="11" w:name="VIOLENCES_GRAVITE_ABSOLUE"/>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76</w:t>
      </w:r>
      <w:r w:rsidRPr="00D07C7C">
        <w:rPr>
          <w:lang w:val="fr-FR"/>
        </w:rPr>
        <w:fldChar w:fldCharType="end"/>
      </w:r>
      <w:bookmarkEnd w:id="11"/>
      <w:r w:rsidRPr="00D07C7C">
        <w:rPr>
          <w:lang w:val="fr-FR"/>
        </w:rPr>
        <w:t>.  Elle observa que – comme les décisions de première et de deuxième instance l</w:t>
      </w:r>
      <w:r w:rsidR="00D07C7C" w:rsidRPr="00D07C7C">
        <w:rPr>
          <w:lang w:val="fr-FR"/>
        </w:rPr>
        <w:t>’</w:t>
      </w:r>
      <w:r w:rsidRPr="00D07C7C">
        <w:rPr>
          <w:lang w:val="fr-FR"/>
        </w:rPr>
        <w:t>auraient constaté et comme, d</w:t>
      </w:r>
      <w:r w:rsidR="00D07C7C" w:rsidRPr="00D07C7C">
        <w:rPr>
          <w:lang w:val="fr-FR"/>
        </w:rPr>
        <w:t>’</w:t>
      </w:r>
      <w:r w:rsidRPr="00D07C7C">
        <w:rPr>
          <w:lang w:val="fr-FR"/>
        </w:rPr>
        <w:t>ailleurs, cela n</w:t>
      </w:r>
      <w:r w:rsidR="00D07C7C" w:rsidRPr="00D07C7C">
        <w:rPr>
          <w:lang w:val="fr-FR"/>
        </w:rPr>
        <w:t>’</w:t>
      </w:r>
      <w:r w:rsidRPr="00D07C7C">
        <w:rPr>
          <w:lang w:val="fr-FR"/>
        </w:rPr>
        <w:t>aurait jamais été contesté – « les violences perpétrées par la police au cours de leur irruption dans l</w:t>
      </w:r>
      <w:r w:rsidR="00D07C7C" w:rsidRPr="00D07C7C">
        <w:rPr>
          <w:lang w:val="fr-FR"/>
        </w:rPr>
        <w:t>’</w:t>
      </w:r>
      <w:r w:rsidRPr="00D07C7C">
        <w:rPr>
          <w:lang w:val="fr-FR"/>
        </w:rPr>
        <w:t>école Diaz-Pertini [avaient] été d</w:t>
      </w:r>
      <w:r w:rsidR="00D07C7C" w:rsidRPr="00D07C7C">
        <w:rPr>
          <w:lang w:val="fr-FR"/>
        </w:rPr>
        <w:t>’</w:t>
      </w:r>
      <w:r w:rsidRPr="00D07C7C">
        <w:rPr>
          <w:lang w:val="fr-FR"/>
        </w:rPr>
        <w:t>une gravité inhabituelle » et « absolue ». Pareille gravité aurait tenu à ce que ces violences généralisées, commises dans tous les locaux de l</w:t>
      </w:r>
      <w:r w:rsidR="00D07C7C" w:rsidRPr="00D07C7C">
        <w:rPr>
          <w:lang w:val="fr-FR"/>
        </w:rPr>
        <w:t>’</w:t>
      </w:r>
      <w:r w:rsidRPr="00D07C7C">
        <w:rPr>
          <w:lang w:val="fr-FR"/>
        </w:rPr>
        <w:t>école, s</w:t>
      </w:r>
      <w:r w:rsidR="00D07C7C" w:rsidRPr="00D07C7C">
        <w:rPr>
          <w:lang w:val="fr-FR"/>
        </w:rPr>
        <w:t>’</w:t>
      </w:r>
      <w:r w:rsidRPr="00D07C7C">
        <w:rPr>
          <w:lang w:val="fr-FR"/>
        </w:rPr>
        <w:t>étaient déchaînées contre des personnes à l</w:t>
      </w:r>
      <w:r w:rsidR="00D07C7C" w:rsidRPr="00D07C7C">
        <w:rPr>
          <w:lang w:val="fr-FR"/>
        </w:rPr>
        <w:t>’</w:t>
      </w:r>
      <w:r w:rsidRPr="00D07C7C">
        <w:rPr>
          <w:lang w:val="fr-FR"/>
        </w:rPr>
        <w:t>évidence désarmées, endormies ou assises les mains en l</w:t>
      </w:r>
      <w:r w:rsidR="00D07C7C" w:rsidRPr="00D07C7C">
        <w:rPr>
          <w:lang w:val="fr-FR"/>
        </w:rPr>
        <w:t>’</w:t>
      </w:r>
      <w:r w:rsidRPr="00D07C7C">
        <w:rPr>
          <w:lang w:val="fr-FR"/>
        </w:rPr>
        <w:t>air.</w:t>
      </w:r>
    </w:p>
    <w:bookmarkStart w:id="12" w:name="ABSENCE_DELIT_TORTURE"/>
    <w:p w:rsidR="00FE73C2" w:rsidRPr="00D07C7C" w:rsidRDefault="00FE73C2" w:rsidP="00D07C7C">
      <w:pPr>
        <w:pStyle w:val="ECHRPara"/>
        <w:rPr>
          <w:szCs w:val="24"/>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77</w:t>
      </w:r>
      <w:r w:rsidRPr="00D07C7C">
        <w:rPr>
          <w:lang w:val="fr-FR"/>
        </w:rPr>
        <w:fldChar w:fldCharType="end"/>
      </w:r>
      <w:bookmarkEnd w:id="12"/>
      <w:r w:rsidRPr="00D07C7C">
        <w:rPr>
          <w:lang w:val="fr-FR"/>
        </w:rPr>
        <w:t>.  D</w:t>
      </w:r>
      <w:r w:rsidR="00D07C7C" w:rsidRPr="00D07C7C">
        <w:rPr>
          <w:lang w:val="fr-FR"/>
        </w:rPr>
        <w:t>’</w:t>
      </w:r>
      <w:r w:rsidRPr="00D07C7C">
        <w:rPr>
          <w:lang w:val="fr-FR"/>
        </w:rPr>
        <w:t xml:space="preserve">après la Cour de cassation, ces violences pouvaient relever de la « torture » aux termes de la Convention des Nations unies contre la torture et autres peines ou traitements cruels, inhumains ou dégradants ou bien des </w:t>
      </w:r>
      <w:r w:rsidRPr="00D07C7C">
        <w:rPr>
          <w:lang w:val="fr-FR"/>
        </w:rPr>
        <w:lastRenderedPageBreak/>
        <w:t>« traitements inhumains ou dégradants » et aux termes de l</w:t>
      </w:r>
      <w:r w:rsidR="00D07C7C" w:rsidRPr="00D07C7C">
        <w:rPr>
          <w:lang w:val="fr-FR"/>
        </w:rPr>
        <w:t>’</w:t>
      </w:r>
      <w:r w:rsidRPr="00D07C7C">
        <w:rPr>
          <w:lang w:val="fr-FR"/>
        </w:rPr>
        <w:t>article 3 de la Convention. Toutefois,</w:t>
      </w:r>
      <w:r w:rsidRPr="00D07C7C">
        <w:rPr>
          <w:szCs w:val="24"/>
          <w:lang w:val="fr-FR"/>
        </w:rPr>
        <w:t xml:space="preserve"> en l</w:t>
      </w:r>
      <w:r w:rsidR="00D07C7C" w:rsidRPr="00D07C7C">
        <w:rPr>
          <w:szCs w:val="24"/>
          <w:lang w:val="fr-FR"/>
        </w:rPr>
        <w:t>’</w:t>
      </w:r>
      <w:r w:rsidRPr="00D07C7C">
        <w:rPr>
          <w:szCs w:val="24"/>
          <w:lang w:val="fr-FR"/>
        </w:rPr>
        <w:t>absence d</w:t>
      </w:r>
      <w:r w:rsidR="00D07C7C" w:rsidRPr="00D07C7C">
        <w:rPr>
          <w:szCs w:val="24"/>
          <w:lang w:val="fr-FR"/>
        </w:rPr>
        <w:t>’</w:t>
      </w:r>
      <w:r w:rsidRPr="00D07C7C">
        <w:rPr>
          <w:szCs w:val="24"/>
          <w:lang w:val="fr-FR"/>
        </w:rPr>
        <w:t xml:space="preserve">une infraction pénale </w:t>
      </w:r>
      <w:r w:rsidRPr="00D07C7C">
        <w:rPr>
          <w:i/>
          <w:szCs w:val="24"/>
          <w:lang w:val="fr-FR"/>
        </w:rPr>
        <w:t xml:space="preserve">ad hoc </w:t>
      </w:r>
      <w:r w:rsidRPr="00D07C7C">
        <w:rPr>
          <w:szCs w:val="24"/>
          <w:lang w:val="fr-FR"/>
        </w:rPr>
        <w:t>dans l</w:t>
      </w:r>
      <w:r w:rsidR="00D07C7C" w:rsidRPr="00D07C7C">
        <w:rPr>
          <w:szCs w:val="24"/>
          <w:lang w:val="fr-FR"/>
        </w:rPr>
        <w:t>’</w:t>
      </w:r>
      <w:r w:rsidRPr="00D07C7C">
        <w:rPr>
          <w:szCs w:val="24"/>
          <w:lang w:val="fr-FR"/>
        </w:rPr>
        <w:t>ordre juridique italien, les violences en cause avaient été poursuivies au titre des délits de lésions corporelles simples ou aggravées, lesquels, en application de l</w:t>
      </w:r>
      <w:r w:rsidR="00D07C7C" w:rsidRPr="00D07C7C">
        <w:rPr>
          <w:szCs w:val="24"/>
          <w:lang w:val="fr-FR"/>
        </w:rPr>
        <w:t>’</w:t>
      </w:r>
      <w:r w:rsidR="00BE7CE0" w:rsidRPr="00D07C7C">
        <w:rPr>
          <w:szCs w:val="24"/>
          <w:lang w:val="fr-FR"/>
        </w:rPr>
        <w:t>article </w:t>
      </w:r>
      <w:r w:rsidRPr="00D07C7C">
        <w:rPr>
          <w:szCs w:val="24"/>
          <w:lang w:val="fr-FR"/>
        </w:rPr>
        <w:t>157 du code pénal, avaient fait l</w:t>
      </w:r>
      <w:r w:rsidR="00D07C7C" w:rsidRPr="00D07C7C">
        <w:rPr>
          <w:szCs w:val="24"/>
          <w:lang w:val="fr-FR"/>
        </w:rPr>
        <w:t>’</w:t>
      </w:r>
      <w:r w:rsidRPr="00D07C7C">
        <w:rPr>
          <w:szCs w:val="24"/>
          <w:lang w:val="fr-FR"/>
        </w:rPr>
        <w:t>objet d</w:t>
      </w:r>
      <w:r w:rsidR="00D07C7C" w:rsidRPr="00D07C7C">
        <w:rPr>
          <w:szCs w:val="24"/>
          <w:lang w:val="fr-FR"/>
        </w:rPr>
        <w:t>’</w:t>
      </w:r>
      <w:r w:rsidRPr="00D07C7C">
        <w:rPr>
          <w:szCs w:val="24"/>
          <w:lang w:val="fr-FR"/>
        </w:rPr>
        <w:t>un non-lieu pour cause de prescription au cours de la procédure.</w:t>
      </w:r>
    </w:p>
    <w:p w:rsidR="00FE73C2" w:rsidRPr="00D07C7C" w:rsidRDefault="00065A11" w:rsidP="00D07C7C">
      <w:pPr>
        <w:pStyle w:val="ECHRHeading3"/>
        <w:rPr>
          <w:lang w:val="fr-FR"/>
        </w:rPr>
      </w:pPr>
      <w:r w:rsidRPr="00D07C7C">
        <w:rPr>
          <w:lang w:val="fr-FR"/>
        </w:rPr>
        <w:t>2.</w:t>
      </w:r>
      <w:r w:rsidR="00FE73C2" w:rsidRPr="00D07C7C">
        <w:rPr>
          <w:lang w:val="fr-FR"/>
        </w:rPr>
        <w:t>  Sur les événements de l</w:t>
      </w:r>
      <w:r w:rsidR="00D07C7C" w:rsidRPr="00D07C7C">
        <w:rPr>
          <w:lang w:val="fr-FR"/>
        </w:rPr>
        <w:t>’</w:t>
      </w:r>
      <w:r w:rsidR="00FE73C2" w:rsidRPr="00D07C7C">
        <w:rPr>
          <w:lang w:val="fr-FR"/>
        </w:rPr>
        <w:t>école Pascoli</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78</w:t>
      </w:r>
      <w:r w:rsidRPr="00D07C7C">
        <w:rPr>
          <w:lang w:val="fr-FR"/>
        </w:rPr>
        <w:fldChar w:fldCharType="end"/>
      </w:r>
      <w:r w:rsidRPr="00D07C7C">
        <w:rPr>
          <w:lang w:val="fr-FR"/>
        </w:rPr>
        <w:t>.  En ce qui concerne l</w:t>
      </w:r>
      <w:r w:rsidR="00D07C7C" w:rsidRPr="00D07C7C">
        <w:rPr>
          <w:lang w:val="fr-FR"/>
        </w:rPr>
        <w:t>’</w:t>
      </w:r>
      <w:r w:rsidRPr="00D07C7C">
        <w:rPr>
          <w:lang w:val="fr-FR"/>
        </w:rPr>
        <w:t>école Pascoli, les chefs d</w:t>
      </w:r>
      <w:r w:rsidR="00D07C7C" w:rsidRPr="00D07C7C">
        <w:rPr>
          <w:lang w:val="fr-FR"/>
        </w:rPr>
        <w:t>’</w:t>
      </w:r>
      <w:r w:rsidRPr="00D07C7C">
        <w:rPr>
          <w:lang w:val="fr-FR"/>
        </w:rPr>
        <w:t>accusation retenus</w:t>
      </w:r>
      <w:r w:rsidRPr="00D07C7C">
        <w:rPr>
          <w:i/>
          <w:lang w:val="fr-FR"/>
        </w:rPr>
        <w:t xml:space="preserve"> </w:t>
      </w:r>
      <w:r w:rsidRPr="00D07C7C">
        <w:rPr>
          <w:lang w:val="fr-FR"/>
        </w:rPr>
        <w:t>furent essentiellement les délits de perquisition arbitraire et de dommages matériels.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79</w:t>
      </w:r>
      <w:r w:rsidRPr="00D07C7C">
        <w:rPr>
          <w:lang w:val="fr-FR"/>
        </w:rPr>
        <w:fldChar w:fldCharType="end"/>
      </w:r>
      <w:r w:rsidRPr="00D07C7C">
        <w:rPr>
          <w:lang w:val="fr-FR"/>
        </w:rPr>
        <w:t>.  Par le jugement n</w:t>
      </w:r>
      <w:r w:rsidRPr="00D07C7C">
        <w:rPr>
          <w:vertAlign w:val="superscript"/>
          <w:lang w:val="fr-FR"/>
        </w:rPr>
        <w:t>o</w:t>
      </w:r>
      <w:r w:rsidRPr="00D07C7C">
        <w:rPr>
          <w:lang w:val="fr-FR"/>
        </w:rPr>
        <w:t xml:space="preserve"> 4252/08, le tribunal de Gênes considéra l</w:t>
      </w:r>
      <w:r w:rsidR="00D07C7C" w:rsidRPr="00D07C7C">
        <w:rPr>
          <w:lang w:val="fr-FR"/>
        </w:rPr>
        <w:t>’</w:t>
      </w:r>
      <w:r w:rsidRPr="00D07C7C">
        <w:rPr>
          <w:lang w:val="fr-FR"/>
        </w:rPr>
        <w:t>irruption des forces de l</w:t>
      </w:r>
      <w:r w:rsidR="00D07C7C" w:rsidRPr="00D07C7C">
        <w:rPr>
          <w:lang w:val="fr-FR"/>
        </w:rPr>
        <w:t>’</w:t>
      </w:r>
      <w:r w:rsidRPr="00D07C7C">
        <w:rPr>
          <w:lang w:val="fr-FR"/>
        </w:rPr>
        <w:t>ordre dans l</w:t>
      </w:r>
      <w:r w:rsidR="00D07C7C" w:rsidRPr="00D07C7C">
        <w:rPr>
          <w:lang w:val="fr-FR"/>
        </w:rPr>
        <w:t>’</w:t>
      </w:r>
      <w:r w:rsidRPr="00D07C7C">
        <w:rPr>
          <w:lang w:val="fr-FR"/>
        </w:rPr>
        <w:t>école Pascoli comme étant la conséquence d</w:t>
      </w:r>
      <w:r w:rsidR="00D07C7C" w:rsidRPr="00D07C7C">
        <w:rPr>
          <w:lang w:val="fr-FR"/>
        </w:rPr>
        <w:t>’</w:t>
      </w:r>
      <w:r w:rsidRPr="00D07C7C">
        <w:rPr>
          <w:lang w:val="fr-FR"/>
        </w:rPr>
        <w:t>une erreur dans l</w:t>
      </w:r>
      <w:r w:rsidR="00D07C7C" w:rsidRPr="00D07C7C">
        <w:rPr>
          <w:lang w:val="fr-FR"/>
        </w:rPr>
        <w:t>’</w:t>
      </w:r>
      <w:r w:rsidRPr="00D07C7C">
        <w:rPr>
          <w:lang w:val="fr-FR"/>
        </w:rPr>
        <w:t>identification du bâtiment à perquisitionner. Il établit en outre qu</w:t>
      </w:r>
      <w:r w:rsidR="00D07C7C" w:rsidRPr="00D07C7C">
        <w:rPr>
          <w:lang w:val="fr-FR"/>
        </w:rPr>
        <w:t>’</w:t>
      </w:r>
      <w:r w:rsidRPr="00D07C7C">
        <w:rPr>
          <w:lang w:val="fr-FR"/>
        </w:rPr>
        <w:t>il n</w:t>
      </w:r>
      <w:r w:rsidR="00D07C7C" w:rsidRPr="00D07C7C">
        <w:rPr>
          <w:lang w:val="fr-FR"/>
        </w:rPr>
        <w:t>’</w:t>
      </w:r>
      <w:r w:rsidRPr="00D07C7C">
        <w:rPr>
          <w:lang w:val="fr-FR"/>
        </w:rPr>
        <w:t>y avait pas de preuves certaines permettant de conclure que les accusés avaient effectivement commis dans l</w:t>
      </w:r>
      <w:r w:rsidR="00D07C7C" w:rsidRPr="00D07C7C">
        <w:rPr>
          <w:lang w:val="fr-FR"/>
        </w:rPr>
        <w:t>’</w:t>
      </w:r>
      <w:r w:rsidRPr="00D07C7C">
        <w:rPr>
          <w:lang w:val="fr-FR"/>
        </w:rPr>
        <w:t>école Pascoli les dégâts dénoncés.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80</w:t>
      </w:r>
      <w:r w:rsidRPr="00D07C7C">
        <w:rPr>
          <w:lang w:val="fr-FR"/>
        </w:rPr>
        <w:fldChar w:fldCharType="end"/>
      </w:r>
      <w:r w:rsidRPr="00D07C7C">
        <w:rPr>
          <w:lang w:val="fr-FR"/>
        </w:rPr>
        <w:t xml:space="preserve">.  Dans son arrêt </w:t>
      </w:r>
      <w:r w:rsidRPr="00D07C7C">
        <w:rPr>
          <w:szCs w:val="24"/>
          <w:lang w:val="fr-FR"/>
        </w:rPr>
        <w:t>n</w:t>
      </w:r>
      <w:r w:rsidRPr="00D07C7C">
        <w:rPr>
          <w:szCs w:val="24"/>
          <w:vertAlign w:val="superscript"/>
          <w:lang w:val="fr-FR"/>
        </w:rPr>
        <w:t>o</w:t>
      </w:r>
      <w:r w:rsidRPr="00D07C7C">
        <w:rPr>
          <w:szCs w:val="24"/>
          <w:lang w:val="fr-FR"/>
        </w:rPr>
        <w:t xml:space="preserve"> 1530/10, </w:t>
      </w:r>
      <w:r w:rsidRPr="00D07C7C">
        <w:rPr>
          <w:lang w:val="fr-FR"/>
        </w:rPr>
        <w:t>la cour d</w:t>
      </w:r>
      <w:r w:rsidR="00D07C7C" w:rsidRPr="00D07C7C">
        <w:rPr>
          <w:lang w:val="fr-FR"/>
        </w:rPr>
        <w:t>’</w:t>
      </w:r>
      <w:r w:rsidRPr="00D07C7C">
        <w:rPr>
          <w:lang w:val="fr-FR"/>
        </w:rPr>
        <w:t>appel de Gênes estima, au contraire, que l</w:t>
      </w:r>
      <w:r w:rsidR="00D07C7C" w:rsidRPr="00D07C7C">
        <w:rPr>
          <w:lang w:val="fr-FR"/>
        </w:rPr>
        <w:t>’</w:t>
      </w:r>
      <w:r w:rsidRPr="00D07C7C">
        <w:rPr>
          <w:lang w:val="fr-FR"/>
        </w:rPr>
        <w:t>irruption des forces de l</w:t>
      </w:r>
      <w:r w:rsidR="00D07C7C" w:rsidRPr="00D07C7C">
        <w:rPr>
          <w:lang w:val="fr-FR"/>
        </w:rPr>
        <w:t>’</w:t>
      </w:r>
      <w:r w:rsidRPr="00D07C7C">
        <w:rPr>
          <w:lang w:val="fr-FR"/>
        </w:rPr>
        <w:t>ordre avait été volontaire et qu</w:t>
      </w:r>
      <w:r w:rsidR="00D07C7C" w:rsidRPr="00D07C7C">
        <w:rPr>
          <w:lang w:val="fr-FR"/>
        </w:rPr>
        <w:t>’</w:t>
      </w:r>
      <w:r w:rsidRPr="00D07C7C">
        <w:rPr>
          <w:lang w:val="fr-FR"/>
        </w:rPr>
        <w:t>elle visait à supprimer toute preuve filmée de l</w:t>
      </w:r>
      <w:r w:rsidR="00D07C7C" w:rsidRPr="00D07C7C">
        <w:rPr>
          <w:lang w:val="fr-FR"/>
        </w:rPr>
        <w:t>’</w:t>
      </w:r>
      <w:r w:rsidRPr="00D07C7C">
        <w:rPr>
          <w:lang w:val="fr-FR"/>
        </w:rPr>
        <w:t>irruption en train de se dérouler dans l</w:t>
      </w:r>
      <w:r w:rsidR="00D07C7C" w:rsidRPr="00D07C7C">
        <w:rPr>
          <w:lang w:val="fr-FR"/>
        </w:rPr>
        <w:t>’</w:t>
      </w:r>
      <w:r w:rsidRPr="00D07C7C">
        <w:rPr>
          <w:lang w:val="fr-FR"/>
        </w:rPr>
        <w:t>école Diaz-Pertini. Selon la cour d</w:t>
      </w:r>
      <w:r w:rsidR="00D07C7C" w:rsidRPr="00D07C7C">
        <w:rPr>
          <w:lang w:val="fr-FR"/>
        </w:rPr>
        <w:t>’</w:t>
      </w:r>
      <w:r w:rsidRPr="00D07C7C">
        <w:rPr>
          <w:lang w:val="fr-FR"/>
        </w:rPr>
        <w:t>appel, la destruction des ordinateurs des avocats avait été également volontaire. La cour d</w:t>
      </w:r>
      <w:r w:rsidR="00D07C7C" w:rsidRPr="00D07C7C">
        <w:rPr>
          <w:lang w:val="fr-FR"/>
        </w:rPr>
        <w:t>’</w:t>
      </w:r>
      <w:r w:rsidRPr="00D07C7C">
        <w:rPr>
          <w:lang w:val="fr-FR"/>
        </w:rPr>
        <w:t>appel prononça toutefois un non-lieu à l</w:t>
      </w:r>
      <w:r w:rsidR="00D07C7C" w:rsidRPr="00D07C7C">
        <w:rPr>
          <w:lang w:val="fr-FR"/>
        </w:rPr>
        <w:t>’</w:t>
      </w:r>
      <w:r w:rsidRPr="00D07C7C">
        <w:rPr>
          <w:lang w:val="fr-FR"/>
        </w:rPr>
        <w:t>égard du fonctionnaire de police accusé de ladite destruction pour cause de prescription des délits litigieux.</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81</w:t>
      </w:r>
      <w:r w:rsidRPr="00D07C7C">
        <w:rPr>
          <w:lang w:val="fr-FR"/>
        </w:rPr>
        <w:fldChar w:fldCharType="end"/>
      </w:r>
      <w:r w:rsidRPr="00D07C7C">
        <w:rPr>
          <w:lang w:val="fr-FR"/>
        </w:rPr>
        <w:t>.  Par un arrêt n</w:t>
      </w:r>
      <w:r w:rsidRPr="00D07C7C">
        <w:rPr>
          <w:vertAlign w:val="superscript"/>
          <w:lang w:val="fr-FR"/>
        </w:rPr>
        <w:t>o</w:t>
      </w:r>
      <w:r w:rsidRPr="00D07C7C">
        <w:rPr>
          <w:lang w:val="fr-FR"/>
        </w:rPr>
        <w:t xml:space="preserve"> 38085/12, la Cour de cassation confirma cette décision.</w:t>
      </w:r>
      <w:r w:rsidRPr="00D07C7C">
        <w:rPr>
          <w:szCs w:val="24"/>
          <w:lang w:val="fr-FR"/>
        </w:rPr>
        <w:t xml:space="preserve"> Elle observa que la cour d</w:t>
      </w:r>
      <w:r w:rsidR="00D07C7C" w:rsidRPr="00D07C7C">
        <w:rPr>
          <w:szCs w:val="24"/>
          <w:lang w:val="fr-FR"/>
        </w:rPr>
        <w:t>’</w:t>
      </w:r>
      <w:r w:rsidRPr="00D07C7C">
        <w:rPr>
          <w:szCs w:val="24"/>
          <w:lang w:val="fr-FR"/>
        </w:rPr>
        <w:t>appel avait pleinement motivé ses conclusions en considérant que la police avait accompli, dans l</w:t>
      </w:r>
      <w:r w:rsidR="00D07C7C" w:rsidRPr="00D07C7C">
        <w:rPr>
          <w:szCs w:val="24"/>
          <w:lang w:val="fr-FR"/>
        </w:rPr>
        <w:t>’</w:t>
      </w:r>
      <w:r w:rsidRPr="00D07C7C">
        <w:rPr>
          <w:szCs w:val="24"/>
          <w:lang w:val="fr-FR"/>
        </w:rPr>
        <w:t>école Pascoli, une perquisition arbitraire ayant pour but la recherche et la destruction de tout document concernant les événements de l</w:t>
      </w:r>
      <w:r w:rsidR="00D07C7C" w:rsidRPr="00D07C7C">
        <w:rPr>
          <w:szCs w:val="24"/>
          <w:lang w:val="fr-FR"/>
        </w:rPr>
        <w:t>’</w:t>
      </w:r>
      <w:r w:rsidRPr="00D07C7C">
        <w:rPr>
          <w:szCs w:val="24"/>
          <w:lang w:val="fr-FR"/>
        </w:rPr>
        <w:t>école Diaz-Pertini</w:t>
      </w:r>
      <w:r w:rsidRPr="00D07C7C">
        <w:rPr>
          <w:lang w:val="fr-FR"/>
        </w:rPr>
        <w:t>.</w:t>
      </w:r>
    </w:p>
    <w:p w:rsidR="00FE73C2" w:rsidRPr="00D07C7C" w:rsidRDefault="006020BE" w:rsidP="00D07C7C">
      <w:pPr>
        <w:pStyle w:val="ECHRHeading2"/>
        <w:rPr>
          <w:lang w:val="fr-FR"/>
        </w:rPr>
      </w:pPr>
      <w:r w:rsidRPr="00D07C7C">
        <w:rPr>
          <w:lang w:val="fr-FR"/>
        </w:rPr>
        <w:t>G</w:t>
      </w:r>
      <w:r w:rsidR="00FE73C2" w:rsidRPr="00D07C7C">
        <w:rPr>
          <w:lang w:val="fr-FR"/>
        </w:rPr>
        <w:t>.  L</w:t>
      </w:r>
      <w:r w:rsidR="00D07C7C" w:rsidRPr="00D07C7C">
        <w:rPr>
          <w:lang w:val="fr-FR"/>
        </w:rPr>
        <w:t>’</w:t>
      </w:r>
      <w:r w:rsidR="00FE73C2" w:rsidRPr="00D07C7C">
        <w:rPr>
          <w:lang w:val="fr-FR"/>
        </w:rPr>
        <w:t>enquête parlementaire d</w:t>
      </w:r>
      <w:r w:rsidR="00D07C7C" w:rsidRPr="00D07C7C">
        <w:rPr>
          <w:lang w:val="fr-FR"/>
        </w:rPr>
        <w:t>’</w:t>
      </w:r>
      <w:r w:rsidR="00FE73C2" w:rsidRPr="00D07C7C">
        <w:rPr>
          <w:lang w:val="fr-FR"/>
        </w:rPr>
        <w:t>information</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82</w:t>
      </w:r>
      <w:r w:rsidRPr="00D07C7C">
        <w:rPr>
          <w:lang w:val="fr-FR"/>
        </w:rPr>
        <w:fldChar w:fldCharType="end"/>
      </w:r>
      <w:r w:rsidRPr="00D07C7C">
        <w:rPr>
          <w:lang w:val="fr-FR"/>
        </w:rPr>
        <w:t>.  Le 2 août 2001, les présidents de la Chambre des députés et du Sénat décidèrent qu</w:t>
      </w:r>
      <w:r w:rsidR="00D07C7C" w:rsidRPr="00D07C7C">
        <w:rPr>
          <w:lang w:val="fr-FR"/>
        </w:rPr>
        <w:t>’</w:t>
      </w:r>
      <w:r w:rsidRPr="00D07C7C">
        <w:rPr>
          <w:lang w:val="fr-FR"/>
        </w:rPr>
        <w:t>une enquête d</w:t>
      </w:r>
      <w:r w:rsidR="00D07C7C" w:rsidRPr="00D07C7C">
        <w:rPr>
          <w:lang w:val="fr-FR"/>
        </w:rPr>
        <w:t>’</w:t>
      </w:r>
      <w:r w:rsidRPr="00D07C7C">
        <w:rPr>
          <w:lang w:val="fr-FR"/>
        </w:rPr>
        <w:t>information (</w:t>
      </w:r>
      <w:r w:rsidRPr="00D07C7C">
        <w:rPr>
          <w:i/>
          <w:lang w:val="fr-FR"/>
        </w:rPr>
        <w:t>indagine conoscitiva</w:t>
      </w:r>
      <w:r w:rsidRPr="00D07C7C">
        <w:rPr>
          <w:lang w:val="fr-FR"/>
        </w:rPr>
        <w:t xml:space="preserve">) sur les faits survenus lors du G8 de Gênes serait menée par les commissions des Affaires constitutionnelles des deux chambres du Parlement. À cette fin, il fut créé une commission composée de dix-huit députés </w:t>
      </w:r>
      <w:r w:rsidR="00BE7CE0" w:rsidRPr="00D07C7C">
        <w:rPr>
          <w:lang w:val="fr-FR"/>
        </w:rPr>
        <w:t>et de dix-huit sénateurs. Le 20 </w:t>
      </w:r>
      <w:r w:rsidRPr="00D07C7C">
        <w:rPr>
          <w:lang w:val="fr-FR"/>
        </w:rPr>
        <w:t>septembre 2001, la commission déposa un rapport contenant les conclusions de sa majorité, intitulé « Rapport final de l</w:t>
      </w:r>
      <w:r w:rsidR="00D07C7C" w:rsidRPr="00D07C7C">
        <w:rPr>
          <w:lang w:val="fr-FR"/>
        </w:rPr>
        <w:t>’</w:t>
      </w:r>
      <w:r w:rsidRPr="00D07C7C">
        <w:rPr>
          <w:lang w:val="fr-FR"/>
        </w:rPr>
        <w:t>enquête parlementaire d</w:t>
      </w:r>
      <w:r w:rsidR="00D07C7C" w:rsidRPr="00D07C7C">
        <w:rPr>
          <w:lang w:val="fr-FR"/>
        </w:rPr>
        <w:t>’</w:t>
      </w:r>
      <w:r w:rsidRPr="00D07C7C">
        <w:rPr>
          <w:lang w:val="fr-FR"/>
        </w:rPr>
        <w:t>information sur les faits survenus lors du G8 de Gênes ». D</w:t>
      </w:r>
      <w:r w:rsidR="00D07C7C" w:rsidRPr="00D07C7C">
        <w:rPr>
          <w:lang w:val="fr-FR"/>
        </w:rPr>
        <w:t>’</w:t>
      </w:r>
      <w:r w:rsidRPr="00D07C7C">
        <w:rPr>
          <w:lang w:val="fr-FR"/>
        </w:rPr>
        <w:t>après ce rapport, la perquisition dans l</w:t>
      </w:r>
      <w:r w:rsidR="00D07C7C" w:rsidRPr="00D07C7C">
        <w:rPr>
          <w:lang w:val="fr-FR"/>
        </w:rPr>
        <w:t>’</w:t>
      </w:r>
      <w:r w:rsidRPr="00D07C7C">
        <w:rPr>
          <w:lang w:val="fr-FR"/>
        </w:rPr>
        <w:t>école Diaz-Pertini « appar[aissait] comme étant peut-être l</w:t>
      </w:r>
      <w:r w:rsidR="00D07C7C" w:rsidRPr="00D07C7C">
        <w:rPr>
          <w:lang w:val="fr-FR"/>
        </w:rPr>
        <w:t>’</w:t>
      </w:r>
      <w:r w:rsidRPr="00D07C7C">
        <w:rPr>
          <w:lang w:val="fr-FR"/>
        </w:rPr>
        <w:t>exemple le plus significatif de carences organisationnelles et de dysfonctionnements opérationnels ».</w:t>
      </w:r>
    </w:p>
    <w:p w:rsidR="00FE73C2" w:rsidRPr="00D07C7C" w:rsidRDefault="00FE73C2" w:rsidP="00D07C7C">
      <w:pPr>
        <w:pStyle w:val="ECHRHeading1"/>
        <w:rPr>
          <w:lang w:val="fr-FR"/>
        </w:rPr>
      </w:pPr>
      <w:r w:rsidRPr="00D07C7C">
        <w:rPr>
          <w:lang w:val="fr-FR"/>
        </w:rPr>
        <w:lastRenderedPageBreak/>
        <w:t>II.  LE DROIT ET LA PRATIQUE INTERNES PERTINENTS</w:t>
      </w:r>
    </w:p>
    <w:p w:rsidR="00FE73C2" w:rsidRPr="00D07C7C" w:rsidRDefault="00FE73C2" w:rsidP="00D07C7C">
      <w:pPr>
        <w:pStyle w:val="ECHRPara"/>
        <w:rPr>
          <w:rFonts w:ascii="Times New Roman" w:hAnsi="Times New Roman" w:cs="Times New Roman"/>
          <w:color w:val="000000"/>
          <w:lang w:val="fr-FR"/>
        </w:rPr>
      </w:pPr>
      <w:r w:rsidRPr="00D07C7C">
        <w:rPr>
          <w:rFonts w:ascii="Times New Roman" w:hAnsi="Times New Roman" w:cs="Times New Roman"/>
          <w:color w:val="000000"/>
          <w:lang w:val="fr-FR"/>
        </w:rPr>
        <w:fldChar w:fldCharType="begin"/>
      </w:r>
      <w:r w:rsidRPr="00D07C7C">
        <w:rPr>
          <w:rFonts w:ascii="Times New Roman" w:hAnsi="Times New Roman" w:cs="Times New Roman"/>
          <w:color w:val="000000"/>
          <w:lang w:val="fr-FR"/>
        </w:rPr>
        <w:instrText xml:space="preserve"> SEQ level0 \*arabic </w:instrText>
      </w:r>
      <w:r w:rsidRPr="00D07C7C">
        <w:rPr>
          <w:rFonts w:ascii="Times New Roman" w:hAnsi="Times New Roman" w:cs="Times New Roman"/>
          <w:color w:val="000000"/>
          <w:lang w:val="fr-FR"/>
        </w:rPr>
        <w:fldChar w:fldCharType="separate"/>
      </w:r>
      <w:r w:rsidR="00D07C7C" w:rsidRPr="00D07C7C">
        <w:rPr>
          <w:rFonts w:ascii="Times New Roman" w:hAnsi="Times New Roman" w:cs="Times New Roman"/>
          <w:noProof/>
          <w:color w:val="000000"/>
          <w:lang w:val="fr-FR"/>
        </w:rPr>
        <w:t>83</w:t>
      </w:r>
      <w:r w:rsidRPr="00D07C7C">
        <w:rPr>
          <w:rFonts w:ascii="Times New Roman" w:hAnsi="Times New Roman" w:cs="Times New Roman"/>
          <w:color w:val="000000"/>
          <w:lang w:val="fr-FR"/>
        </w:rPr>
        <w:fldChar w:fldCharType="end"/>
      </w:r>
      <w:r w:rsidRPr="00D07C7C">
        <w:rPr>
          <w:rFonts w:ascii="Times New Roman" w:hAnsi="Times New Roman" w:cs="Times New Roman"/>
          <w:color w:val="000000"/>
          <w:lang w:val="fr-FR"/>
        </w:rPr>
        <w:t>.  Pour ce qui est du droit et de la pratique internes pertinents dans les présentes affaires ainsi que du droit international, la Cour renvoie à l</w:t>
      </w:r>
      <w:r w:rsidR="00D07C7C" w:rsidRPr="00D07C7C">
        <w:rPr>
          <w:rFonts w:ascii="Times New Roman" w:hAnsi="Times New Roman" w:cs="Times New Roman"/>
          <w:color w:val="000000"/>
          <w:lang w:val="fr-FR"/>
        </w:rPr>
        <w:t>’</w:t>
      </w:r>
      <w:r w:rsidRPr="00D07C7C">
        <w:rPr>
          <w:rFonts w:ascii="Times New Roman" w:hAnsi="Times New Roman" w:cs="Times New Roman"/>
          <w:color w:val="000000"/>
          <w:lang w:val="fr-FR"/>
        </w:rPr>
        <w:t xml:space="preserve">arrêt </w:t>
      </w:r>
      <w:r w:rsidRPr="00D07C7C">
        <w:rPr>
          <w:rFonts w:ascii="Times New Roman" w:hAnsi="Times New Roman" w:cs="Times New Roman"/>
          <w:i/>
          <w:iCs/>
          <w:color w:val="000000"/>
          <w:lang w:val="fr-FR"/>
        </w:rPr>
        <w:t>Cestaro</w:t>
      </w:r>
      <w:r w:rsidRPr="00D07C7C">
        <w:rPr>
          <w:rFonts w:ascii="Times New Roman" w:hAnsi="Times New Roman" w:cs="Times New Roman"/>
          <w:iCs/>
          <w:color w:val="000000"/>
          <w:lang w:val="fr-FR"/>
        </w:rPr>
        <w:t xml:space="preserve"> (précité, §§</w:t>
      </w:r>
      <w:r w:rsidRPr="00D07C7C">
        <w:rPr>
          <w:rFonts w:ascii="Times New Roman" w:hAnsi="Times New Roman" w:cs="Times New Roman"/>
          <w:color w:val="000000"/>
          <w:lang w:val="fr-FR"/>
        </w:rPr>
        <w:t> 87-121).</w:t>
      </w:r>
    </w:p>
    <w:p w:rsidR="00FE73C2" w:rsidRPr="00D07C7C" w:rsidRDefault="00FE73C2" w:rsidP="00D07C7C">
      <w:pPr>
        <w:pStyle w:val="ECHRPara"/>
        <w:rPr>
          <w:lang w:val="fr-FR"/>
        </w:rPr>
      </w:pPr>
      <w:r w:rsidRPr="00D07C7C">
        <w:rPr>
          <w:rFonts w:ascii="Times New Roman" w:hAnsi="Times New Roman" w:cs="Times New Roman"/>
          <w:color w:val="000000"/>
          <w:lang w:val="fr-FR"/>
        </w:rPr>
        <w:fldChar w:fldCharType="begin"/>
      </w:r>
      <w:r w:rsidRPr="00D07C7C">
        <w:rPr>
          <w:rFonts w:ascii="Times New Roman" w:hAnsi="Times New Roman" w:cs="Times New Roman"/>
          <w:color w:val="000000"/>
          <w:lang w:val="fr-FR"/>
        </w:rPr>
        <w:instrText xml:space="preserve"> SEQ level0 \*arabic </w:instrText>
      </w:r>
      <w:r w:rsidRPr="00D07C7C">
        <w:rPr>
          <w:rFonts w:ascii="Times New Roman" w:hAnsi="Times New Roman" w:cs="Times New Roman"/>
          <w:color w:val="000000"/>
          <w:lang w:val="fr-FR"/>
        </w:rPr>
        <w:fldChar w:fldCharType="separate"/>
      </w:r>
      <w:r w:rsidR="00D07C7C" w:rsidRPr="00D07C7C">
        <w:rPr>
          <w:rFonts w:ascii="Times New Roman" w:hAnsi="Times New Roman" w:cs="Times New Roman"/>
          <w:noProof/>
          <w:color w:val="000000"/>
          <w:lang w:val="fr-FR"/>
        </w:rPr>
        <w:t>84</w:t>
      </w:r>
      <w:r w:rsidRPr="00D07C7C">
        <w:rPr>
          <w:rFonts w:ascii="Times New Roman" w:hAnsi="Times New Roman" w:cs="Times New Roman"/>
          <w:color w:val="000000"/>
          <w:lang w:val="fr-FR"/>
        </w:rPr>
        <w:fldChar w:fldCharType="end"/>
      </w:r>
      <w:r w:rsidRPr="00D07C7C">
        <w:rPr>
          <w:rFonts w:ascii="Times New Roman" w:hAnsi="Times New Roman" w:cs="Times New Roman"/>
          <w:color w:val="000000"/>
          <w:lang w:val="fr-FR"/>
        </w:rPr>
        <w:t>.  Une proposition de loi visant à sanctionner la torture et les mauvais traitements a été votée par le Sénat de la République italienne le 5 mars 2014 puis présentée à la Chambre des députés le 6 mars 2014. Cette dernière a modifié le texte le 9 avril 2015 et envoyé la nouvelle proposition de loi au Sénat le 13 avril 2015. Ladite proposition est toujours en cours d</w:t>
      </w:r>
      <w:r w:rsidR="00D07C7C" w:rsidRPr="00D07C7C">
        <w:rPr>
          <w:rFonts w:ascii="Times New Roman" w:hAnsi="Times New Roman" w:cs="Times New Roman"/>
          <w:color w:val="000000"/>
          <w:lang w:val="fr-FR"/>
        </w:rPr>
        <w:t>’</w:t>
      </w:r>
      <w:r w:rsidRPr="00D07C7C">
        <w:rPr>
          <w:rFonts w:ascii="Times New Roman" w:hAnsi="Times New Roman" w:cs="Times New Roman"/>
          <w:color w:val="000000"/>
          <w:lang w:val="fr-FR"/>
        </w:rPr>
        <w:t>examen.</w:t>
      </w:r>
    </w:p>
    <w:p w:rsidR="00FE73C2" w:rsidRPr="00D07C7C" w:rsidRDefault="00FE73C2" w:rsidP="00D07C7C">
      <w:pPr>
        <w:pStyle w:val="ECHRTitle1"/>
        <w:rPr>
          <w:lang w:val="fr-FR"/>
        </w:rPr>
      </w:pPr>
      <w:r w:rsidRPr="00D07C7C">
        <w:rPr>
          <w:lang w:val="fr-FR"/>
        </w:rPr>
        <w:t>EN DROIT</w:t>
      </w:r>
    </w:p>
    <w:p w:rsidR="00FE73C2" w:rsidRPr="00D07C7C" w:rsidRDefault="00FE73C2" w:rsidP="00D07C7C">
      <w:pPr>
        <w:pStyle w:val="ECHRHeading1"/>
        <w:rPr>
          <w:lang w:val="fr-FR"/>
        </w:rPr>
      </w:pPr>
      <w:r w:rsidRPr="00D07C7C">
        <w:rPr>
          <w:lang w:val="fr-FR"/>
        </w:rPr>
        <w:t>I.  SUR LA JONCTION DES REQUÊTES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85</w:t>
      </w:r>
      <w:r w:rsidRPr="00D07C7C">
        <w:rPr>
          <w:lang w:val="fr-FR"/>
        </w:rPr>
        <w:fldChar w:fldCharType="end"/>
      </w:r>
      <w:r w:rsidRPr="00D07C7C">
        <w:rPr>
          <w:lang w:val="fr-FR"/>
        </w:rPr>
        <w:t>.  Compte tenu de la similitude des présentes requêtes quant aux faits et aux questions de fond qu</w:t>
      </w:r>
      <w:r w:rsidR="00D07C7C" w:rsidRPr="00D07C7C">
        <w:rPr>
          <w:lang w:val="fr-FR"/>
        </w:rPr>
        <w:t>’</w:t>
      </w:r>
      <w:r w:rsidRPr="00D07C7C">
        <w:rPr>
          <w:lang w:val="fr-FR"/>
        </w:rPr>
        <w:t>elles soulèvent, la Cour juge approprié de les joindre, en application de l</w:t>
      </w:r>
      <w:r w:rsidR="00D07C7C" w:rsidRPr="00D07C7C">
        <w:rPr>
          <w:lang w:val="fr-FR"/>
        </w:rPr>
        <w:t>’</w:t>
      </w:r>
      <w:r w:rsidRPr="00D07C7C">
        <w:rPr>
          <w:lang w:val="fr-FR"/>
        </w:rPr>
        <w:t>article 42 de son règlement.</w:t>
      </w:r>
    </w:p>
    <w:p w:rsidR="00FE73C2" w:rsidRPr="00D07C7C" w:rsidRDefault="00FE73C2" w:rsidP="00D07C7C">
      <w:pPr>
        <w:pStyle w:val="ECHRHeading1"/>
        <w:rPr>
          <w:lang w:val="fr-FR"/>
        </w:rPr>
      </w:pPr>
      <w:r w:rsidRPr="00D07C7C">
        <w:rPr>
          <w:lang w:val="fr-FR"/>
        </w:rPr>
        <w:t>II.  SUR LA VIOLATION ALLÉGUÉE DE L</w:t>
      </w:r>
      <w:r w:rsidR="00D07C7C" w:rsidRPr="00D07C7C">
        <w:rPr>
          <w:lang w:val="fr-FR"/>
        </w:rPr>
        <w:t>’</w:t>
      </w:r>
      <w:r w:rsidRPr="00D07C7C">
        <w:rPr>
          <w:lang w:val="fr-FR"/>
        </w:rPr>
        <w:t>ARTICLE 3 DE LA CONVENTION</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86</w:t>
      </w:r>
      <w:r w:rsidRPr="00D07C7C">
        <w:rPr>
          <w:lang w:val="fr-FR"/>
        </w:rPr>
        <w:fldChar w:fldCharType="end"/>
      </w:r>
      <w:r w:rsidRPr="00D07C7C">
        <w:rPr>
          <w:lang w:val="fr-FR"/>
        </w:rPr>
        <w:t>.  Tous les requérants se plaignent d</w:t>
      </w:r>
      <w:r w:rsidR="00D07C7C" w:rsidRPr="00D07C7C">
        <w:rPr>
          <w:lang w:val="fr-FR"/>
        </w:rPr>
        <w:t>’</w:t>
      </w:r>
      <w:r w:rsidRPr="00D07C7C">
        <w:rPr>
          <w:lang w:val="fr-FR"/>
        </w:rPr>
        <w:t>avoir été soumis à des actes de violence qu</w:t>
      </w:r>
      <w:r w:rsidR="00D07C7C" w:rsidRPr="00D07C7C">
        <w:rPr>
          <w:lang w:val="fr-FR"/>
        </w:rPr>
        <w:t>’</w:t>
      </w:r>
      <w:r w:rsidRPr="00D07C7C">
        <w:rPr>
          <w:lang w:val="fr-FR"/>
        </w:rPr>
        <w:t>ils qualifient de torture et de traitements inhumains et dégradants. Ils invoquent l</w:t>
      </w:r>
      <w:r w:rsidR="00D07C7C" w:rsidRPr="00D07C7C">
        <w:rPr>
          <w:lang w:val="fr-FR"/>
        </w:rPr>
        <w:t>’</w:t>
      </w:r>
      <w:r w:rsidRPr="00D07C7C">
        <w:rPr>
          <w:lang w:val="fr-FR"/>
        </w:rPr>
        <w:t>article 3 de la Convention ainsi libellé :</w:t>
      </w:r>
    </w:p>
    <w:p w:rsidR="00FE73C2" w:rsidRPr="00D07C7C" w:rsidRDefault="00FE73C2" w:rsidP="00D07C7C">
      <w:pPr>
        <w:pStyle w:val="ECHRParaQuote"/>
        <w:rPr>
          <w:lang w:val="fr-FR"/>
        </w:rPr>
      </w:pPr>
      <w:r w:rsidRPr="00D07C7C">
        <w:rPr>
          <w:lang w:val="fr-FR"/>
        </w:rPr>
        <w:t>« Nul ne peut être soumis à la torture ni à des (...) traitements inhumains ou dégradants. »</w:t>
      </w:r>
    </w:p>
    <w:p w:rsidR="00FE73C2" w:rsidRPr="00D07C7C" w:rsidRDefault="00FE73C2" w:rsidP="00D07C7C">
      <w:pPr>
        <w:pStyle w:val="ECHRPara"/>
        <w:rPr>
          <w:snapToGrid w:val="0"/>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87</w:t>
      </w:r>
      <w:r w:rsidRPr="00D07C7C">
        <w:rPr>
          <w:lang w:val="fr-FR"/>
        </w:rPr>
        <w:fldChar w:fldCharType="end"/>
      </w:r>
      <w:r w:rsidRPr="00D07C7C">
        <w:rPr>
          <w:lang w:val="fr-FR"/>
        </w:rPr>
        <w:t>.  Les requérants se plaignent également, sur le terrain des articles 3 et 13 de la Convention, de l</w:t>
      </w:r>
      <w:r w:rsidR="00D07C7C" w:rsidRPr="00D07C7C">
        <w:rPr>
          <w:lang w:val="fr-FR"/>
        </w:rPr>
        <w:t>’</w:t>
      </w:r>
      <w:r w:rsidRPr="00D07C7C">
        <w:rPr>
          <w:lang w:val="fr-FR"/>
        </w:rPr>
        <w:t>absence d</w:t>
      </w:r>
      <w:r w:rsidR="00D07C7C" w:rsidRPr="00D07C7C">
        <w:rPr>
          <w:lang w:val="fr-FR"/>
        </w:rPr>
        <w:t>’</w:t>
      </w:r>
      <w:r w:rsidRPr="00D07C7C">
        <w:rPr>
          <w:lang w:val="fr-FR"/>
        </w:rPr>
        <w:t xml:space="preserve">une enquête effective. </w:t>
      </w:r>
      <w:r w:rsidRPr="00D07C7C">
        <w:rPr>
          <w:snapToGrid w:val="0"/>
          <w:lang w:val="fr-FR"/>
        </w:rPr>
        <w:t>En particulier, ils dénoncent le défaut d</w:t>
      </w:r>
      <w:r w:rsidR="00D07C7C" w:rsidRPr="00D07C7C">
        <w:rPr>
          <w:snapToGrid w:val="0"/>
          <w:lang w:val="fr-FR"/>
        </w:rPr>
        <w:t>’</w:t>
      </w:r>
      <w:r w:rsidRPr="00D07C7C">
        <w:rPr>
          <w:snapToGrid w:val="0"/>
          <w:lang w:val="fr-FR"/>
        </w:rPr>
        <w:t>identification de la plupart des agents auteurs de violences, et l</w:t>
      </w:r>
      <w:r w:rsidR="00D07C7C" w:rsidRPr="00D07C7C">
        <w:rPr>
          <w:snapToGrid w:val="0"/>
          <w:lang w:val="fr-FR"/>
        </w:rPr>
        <w:t>’</w:t>
      </w:r>
      <w:r w:rsidRPr="00D07C7C">
        <w:rPr>
          <w:snapToGrid w:val="0"/>
          <w:lang w:val="fr-FR"/>
        </w:rPr>
        <w:t>absence, dans le système pénal italien, d</w:t>
      </w:r>
      <w:r w:rsidR="00D07C7C" w:rsidRPr="00D07C7C">
        <w:rPr>
          <w:snapToGrid w:val="0"/>
          <w:lang w:val="fr-FR"/>
        </w:rPr>
        <w:t>’</w:t>
      </w:r>
      <w:r w:rsidRPr="00D07C7C">
        <w:rPr>
          <w:snapToGrid w:val="0"/>
          <w:lang w:val="fr-FR"/>
        </w:rPr>
        <w:t>un délit punissant la torture et les traitements inhumains et dégradants.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88</w:t>
      </w:r>
      <w:r w:rsidRPr="00D07C7C">
        <w:rPr>
          <w:lang w:val="fr-FR"/>
        </w:rPr>
        <w:fldChar w:fldCharType="end"/>
      </w:r>
      <w:r w:rsidRPr="00D07C7C">
        <w:rPr>
          <w:lang w:val="fr-FR"/>
        </w:rPr>
        <w:t>.  Le Gouvernement conteste cette thèse.</w:t>
      </w:r>
    </w:p>
    <w:p w:rsidR="00FE73C2" w:rsidRPr="00D07C7C" w:rsidRDefault="00FE73C2" w:rsidP="00D07C7C">
      <w:pPr>
        <w:pStyle w:val="ECHRPara"/>
        <w:rPr>
          <w:snapToGrid w:val="0"/>
          <w:lang w:val="fr-FR"/>
        </w:rPr>
      </w:pPr>
      <w:r w:rsidRPr="00D07C7C">
        <w:rPr>
          <w:snapToGrid w:val="0"/>
          <w:lang w:val="fr-FR"/>
        </w:rPr>
        <w:fldChar w:fldCharType="begin"/>
      </w:r>
      <w:r w:rsidRPr="00D07C7C">
        <w:rPr>
          <w:snapToGrid w:val="0"/>
          <w:lang w:val="fr-FR"/>
        </w:rPr>
        <w:instrText xml:space="preserve"> SEQ level0 \*arabic </w:instrText>
      </w:r>
      <w:r w:rsidRPr="00D07C7C">
        <w:rPr>
          <w:snapToGrid w:val="0"/>
          <w:lang w:val="fr-FR"/>
        </w:rPr>
        <w:fldChar w:fldCharType="separate"/>
      </w:r>
      <w:r w:rsidR="00D07C7C" w:rsidRPr="00D07C7C">
        <w:rPr>
          <w:noProof/>
          <w:snapToGrid w:val="0"/>
          <w:lang w:val="fr-FR"/>
        </w:rPr>
        <w:t>89</w:t>
      </w:r>
      <w:r w:rsidRPr="00D07C7C">
        <w:rPr>
          <w:snapToGrid w:val="0"/>
          <w:lang w:val="fr-FR"/>
        </w:rPr>
        <w:fldChar w:fldCharType="end"/>
      </w:r>
      <w:r w:rsidRPr="00D07C7C">
        <w:rPr>
          <w:snapToGrid w:val="0"/>
          <w:lang w:val="fr-FR"/>
        </w:rPr>
        <w:t>.  Eu égard à la formulation des griefs des requérants, la Cour estime qu</w:t>
      </w:r>
      <w:r w:rsidR="00D07C7C" w:rsidRPr="00D07C7C">
        <w:rPr>
          <w:snapToGrid w:val="0"/>
          <w:lang w:val="fr-FR"/>
        </w:rPr>
        <w:t>’</w:t>
      </w:r>
      <w:r w:rsidRPr="00D07C7C">
        <w:rPr>
          <w:snapToGrid w:val="0"/>
          <w:lang w:val="fr-FR"/>
        </w:rPr>
        <w:t>il convient d</w:t>
      </w:r>
      <w:r w:rsidR="00D07C7C" w:rsidRPr="00D07C7C">
        <w:rPr>
          <w:snapToGrid w:val="0"/>
          <w:lang w:val="fr-FR"/>
        </w:rPr>
        <w:t>’</w:t>
      </w:r>
      <w:r w:rsidRPr="00D07C7C">
        <w:rPr>
          <w:snapToGrid w:val="0"/>
          <w:lang w:val="fr-FR"/>
        </w:rPr>
        <w:t>examiner la question de l</w:t>
      </w:r>
      <w:r w:rsidR="00D07C7C" w:rsidRPr="00D07C7C">
        <w:rPr>
          <w:snapToGrid w:val="0"/>
          <w:lang w:val="fr-FR"/>
        </w:rPr>
        <w:t>’</w:t>
      </w:r>
      <w:r w:rsidRPr="00D07C7C">
        <w:rPr>
          <w:snapToGrid w:val="0"/>
          <w:lang w:val="fr-FR"/>
        </w:rPr>
        <w:t>absence d</w:t>
      </w:r>
      <w:r w:rsidR="00D07C7C" w:rsidRPr="00D07C7C">
        <w:rPr>
          <w:snapToGrid w:val="0"/>
          <w:lang w:val="fr-FR"/>
        </w:rPr>
        <w:t>’</w:t>
      </w:r>
      <w:r w:rsidRPr="00D07C7C">
        <w:rPr>
          <w:snapToGrid w:val="0"/>
          <w:lang w:val="fr-FR"/>
        </w:rPr>
        <w:t>une enquête effective uniquement sous l</w:t>
      </w:r>
      <w:r w:rsidR="00D07C7C" w:rsidRPr="00D07C7C">
        <w:rPr>
          <w:snapToGrid w:val="0"/>
          <w:lang w:val="fr-FR"/>
        </w:rPr>
        <w:t>’</w:t>
      </w:r>
      <w:r w:rsidRPr="00D07C7C">
        <w:rPr>
          <w:snapToGrid w:val="0"/>
          <w:lang w:val="fr-FR"/>
        </w:rPr>
        <w:t>angle du volet procédural de l</w:t>
      </w:r>
      <w:r w:rsidR="00D07C7C" w:rsidRPr="00D07C7C">
        <w:rPr>
          <w:snapToGrid w:val="0"/>
          <w:lang w:val="fr-FR"/>
        </w:rPr>
        <w:t>’</w:t>
      </w:r>
      <w:r w:rsidRPr="00D07C7C">
        <w:rPr>
          <w:snapToGrid w:val="0"/>
          <w:lang w:val="fr-FR"/>
        </w:rPr>
        <w:t>article 3 de la Convention (</w:t>
      </w:r>
      <w:r w:rsidRPr="00D07C7C">
        <w:rPr>
          <w:i/>
          <w:lang w:val="fr-FR"/>
        </w:rPr>
        <w:t>Dembele c. Suisse</w:t>
      </w:r>
      <w:r w:rsidRPr="00D07C7C">
        <w:rPr>
          <w:lang w:val="fr-FR"/>
        </w:rPr>
        <w:t>, n</w:t>
      </w:r>
      <w:r w:rsidRPr="00D07C7C">
        <w:rPr>
          <w:vertAlign w:val="superscript"/>
          <w:lang w:val="fr-FR"/>
        </w:rPr>
        <w:t>o</w:t>
      </w:r>
      <w:r w:rsidRPr="00D07C7C">
        <w:rPr>
          <w:lang w:val="fr-FR"/>
        </w:rPr>
        <w:t> 74010/11</w:t>
      </w:r>
      <w:r w:rsidRPr="00D07C7C">
        <w:rPr>
          <w:snapToGrid w:val="0"/>
          <w:lang w:val="fr-FR"/>
        </w:rPr>
        <w:t xml:space="preserve">, § 33, 24 </w:t>
      </w:r>
      <w:r w:rsidRPr="00D07C7C">
        <w:rPr>
          <w:lang w:val="fr-FR"/>
        </w:rPr>
        <w:t>septembre</w:t>
      </w:r>
      <w:r w:rsidRPr="00D07C7C">
        <w:rPr>
          <w:snapToGrid w:val="0"/>
          <w:lang w:val="fr-FR"/>
        </w:rPr>
        <w:t xml:space="preserve"> 2013, et </w:t>
      </w:r>
      <w:r w:rsidRPr="00D07C7C">
        <w:rPr>
          <w:i/>
          <w:snapToGrid w:val="0"/>
          <w:lang w:val="fr-FR"/>
        </w:rPr>
        <w:t>Cestaro</w:t>
      </w:r>
      <w:r w:rsidRPr="00D07C7C">
        <w:rPr>
          <w:snapToGrid w:val="0"/>
          <w:lang w:val="fr-FR"/>
        </w:rPr>
        <w:t>, précité, § 129).</w:t>
      </w:r>
    </w:p>
    <w:p w:rsidR="00FE73C2" w:rsidRPr="00D07C7C" w:rsidRDefault="00FE73C2" w:rsidP="00D07C7C">
      <w:pPr>
        <w:pStyle w:val="ECHRPara"/>
        <w:rPr>
          <w:lang w:val="fr-FR"/>
        </w:rPr>
      </w:pPr>
      <w:r w:rsidRPr="00D07C7C">
        <w:rPr>
          <w:snapToGrid w:val="0"/>
          <w:lang w:val="fr-FR"/>
        </w:rPr>
        <w:fldChar w:fldCharType="begin"/>
      </w:r>
      <w:r w:rsidRPr="00D07C7C">
        <w:rPr>
          <w:snapToGrid w:val="0"/>
          <w:lang w:val="fr-FR"/>
        </w:rPr>
        <w:instrText xml:space="preserve"> SEQ level0 \*arabic </w:instrText>
      </w:r>
      <w:r w:rsidRPr="00D07C7C">
        <w:rPr>
          <w:snapToGrid w:val="0"/>
          <w:lang w:val="fr-FR"/>
        </w:rPr>
        <w:fldChar w:fldCharType="separate"/>
      </w:r>
      <w:r w:rsidR="00D07C7C" w:rsidRPr="00D07C7C">
        <w:rPr>
          <w:noProof/>
          <w:snapToGrid w:val="0"/>
          <w:lang w:val="fr-FR"/>
        </w:rPr>
        <w:t>90</w:t>
      </w:r>
      <w:r w:rsidRPr="00D07C7C">
        <w:rPr>
          <w:snapToGrid w:val="0"/>
          <w:lang w:val="fr-FR"/>
        </w:rPr>
        <w:fldChar w:fldCharType="end"/>
      </w:r>
      <w:r w:rsidRPr="00D07C7C">
        <w:rPr>
          <w:snapToGrid w:val="0"/>
          <w:lang w:val="fr-FR"/>
        </w:rPr>
        <w:t>.  Enfin, les requérants de la requête n</w:t>
      </w:r>
      <w:r w:rsidRPr="00D07C7C">
        <w:rPr>
          <w:snapToGrid w:val="0"/>
          <w:vertAlign w:val="superscript"/>
          <w:lang w:val="fr-FR"/>
        </w:rPr>
        <w:t>o</w:t>
      </w:r>
      <w:r w:rsidRPr="00D07C7C">
        <w:rPr>
          <w:snapToGrid w:val="0"/>
          <w:lang w:val="fr-FR"/>
        </w:rPr>
        <w:t xml:space="preserve"> 43390/13 se plaignent en outre : </w:t>
      </w:r>
      <w:r w:rsidRPr="00D07C7C">
        <w:rPr>
          <w:lang w:val="fr-FR"/>
        </w:rPr>
        <w:t>de ne pas avoir reçu d</w:t>
      </w:r>
      <w:r w:rsidR="00D07C7C" w:rsidRPr="00D07C7C">
        <w:rPr>
          <w:lang w:val="fr-FR"/>
        </w:rPr>
        <w:t>’</w:t>
      </w:r>
      <w:r w:rsidRPr="00D07C7C">
        <w:rPr>
          <w:lang w:val="fr-FR"/>
        </w:rPr>
        <w:t>informations sur les raisons de leur arrestation, le cas échéant en présence d</w:t>
      </w:r>
      <w:r w:rsidR="00D07C7C" w:rsidRPr="00D07C7C">
        <w:rPr>
          <w:lang w:val="fr-FR"/>
        </w:rPr>
        <w:t>’</w:t>
      </w:r>
      <w:r w:rsidRPr="00D07C7C">
        <w:rPr>
          <w:lang w:val="fr-FR"/>
        </w:rPr>
        <w:t>un interprète (article 5 § 2 de la Convention) ; d</w:t>
      </w:r>
      <w:r w:rsidR="00D07C7C" w:rsidRPr="00D07C7C">
        <w:rPr>
          <w:lang w:val="fr-FR"/>
        </w:rPr>
        <w:t>’</w:t>
      </w:r>
      <w:r w:rsidRPr="00D07C7C">
        <w:rPr>
          <w:lang w:val="fr-FR"/>
        </w:rPr>
        <w:t>avoir subi des humiliations contraires à la liberté de conscience, d</w:t>
      </w:r>
      <w:r w:rsidR="00D07C7C" w:rsidRPr="00D07C7C">
        <w:rPr>
          <w:lang w:val="fr-FR"/>
        </w:rPr>
        <w:t>’</w:t>
      </w:r>
      <w:r w:rsidRPr="00D07C7C">
        <w:rPr>
          <w:lang w:val="fr-FR"/>
        </w:rPr>
        <w:t xml:space="preserve">expression et de </w:t>
      </w:r>
      <w:r w:rsidRPr="00D07C7C">
        <w:rPr>
          <w:lang w:val="fr-FR"/>
        </w:rPr>
        <w:lastRenderedPageBreak/>
        <w:t>réunion (articles 9, 10 et 11 de la Convention) ; d</w:t>
      </w:r>
      <w:r w:rsidR="00D07C7C" w:rsidRPr="00D07C7C">
        <w:rPr>
          <w:lang w:val="fr-FR"/>
        </w:rPr>
        <w:t>’</w:t>
      </w:r>
      <w:r w:rsidRPr="00D07C7C">
        <w:rPr>
          <w:lang w:val="fr-FR"/>
        </w:rPr>
        <w:t>avoir été victimes de discrimination, l</w:t>
      </w:r>
      <w:r w:rsidR="00D07C7C" w:rsidRPr="00D07C7C">
        <w:rPr>
          <w:lang w:val="fr-FR"/>
        </w:rPr>
        <w:t>’</w:t>
      </w:r>
      <w:r w:rsidRPr="00D07C7C">
        <w:rPr>
          <w:lang w:val="fr-FR"/>
        </w:rPr>
        <w:t>irruption de la police n</w:t>
      </w:r>
      <w:r w:rsidR="00D07C7C" w:rsidRPr="00D07C7C">
        <w:rPr>
          <w:lang w:val="fr-FR"/>
        </w:rPr>
        <w:t>’</w:t>
      </w:r>
      <w:r w:rsidRPr="00D07C7C">
        <w:rPr>
          <w:lang w:val="fr-FR"/>
        </w:rPr>
        <w:t>étant selon eux qu</w:t>
      </w:r>
      <w:r w:rsidR="00D07C7C" w:rsidRPr="00D07C7C">
        <w:rPr>
          <w:lang w:val="fr-FR"/>
        </w:rPr>
        <w:t>’</w:t>
      </w:r>
      <w:r w:rsidRPr="00D07C7C">
        <w:rPr>
          <w:lang w:val="fr-FR"/>
        </w:rPr>
        <w:t>une réaction contre les manifestants et leurs opinions politiques (article 14 de la Convention combiné avec les articles 3, 9, 10 et 11).</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91</w:t>
      </w:r>
      <w:r w:rsidRPr="00D07C7C">
        <w:rPr>
          <w:lang w:val="fr-FR"/>
        </w:rPr>
        <w:fldChar w:fldCharType="end"/>
      </w:r>
      <w:r w:rsidRPr="00D07C7C">
        <w:rPr>
          <w:lang w:val="fr-FR"/>
        </w:rPr>
        <w:t>.  Eu égard à la formulation de ces griefs, la Cour estime qu</w:t>
      </w:r>
      <w:r w:rsidR="00D07C7C" w:rsidRPr="00D07C7C">
        <w:rPr>
          <w:lang w:val="fr-FR"/>
        </w:rPr>
        <w:t>’</w:t>
      </w:r>
      <w:r w:rsidRPr="00D07C7C">
        <w:rPr>
          <w:lang w:val="fr-FR"/>
        </w:rPr>
        <w:t>ils s</w:t>
      </w:r>
      <w:r w:rsidR="00D07C7C" w:rsidRPr="00D07C7C">
        <w:rPr>
          <w:lang w:val="fr-FR"/>
        </w:rPr>
        <w:t>’</w:t>
      </w:r>
      <w:r w:rsidRPr="00D07C7C">
        <w:rPr>
          <w:lang w:val="fr-FR"/>
        </w:rPr>
        <w:t>inscrivent dans un cadre plus général de perpétration d</w:t>
      </w:r>
      <w:r w:rsidR="00D07C7C" w:rsidRPr="00D07C7C">
        <w:rPr>
          <w:lang w:val="fr-FR"/>
        </w:rPr>
        <w:t>’</w:t>
      </w:r>
      <w:r w:rsidRPr="00D07C7C">
        <w:rPr>
          <w:lang w:val="fr-FR"/>
        </w:rPr>
        <w:t>actes potentiellement contraires à l</w:t>
      </w:r>
      <w:r w:rsidR="00D07C7C" w:rsidRPr="00D07C7C">
        <w:rPr>
          <w:lang w:val="fr-FR"/>
        </w:rPr>
        <w:t>’</w:t>
      </w:r>
      <w:r w:rsidRPr="00D07C7C">
        <w:rPr>
          <w:lang w:val="fr-FR"/>
        </w:rPr>
        <w:t>article 3 de la Convention et décide de les examiner uniquement sous l</w:t>
      </w:r>
      <w:r w:rsidR="00D07C7C" w:rsidRPr="00D07C7C">
        <w:rPr>
          <w:lang w:val="fr-FR"/>
        </w:rPr>
        <w:t>’</w:t>
      </w:r>
      <w:r w:rsidRPr="00D07C7C">
        <w:rPr>
          <w:lang w:val="fr-FR"/>
        </w:rPr>
        <w:t>angle de cette disposition.</w:t>
      </w:r>
    </w:p>
    <w:p w:rsidR="00FE73C2" w:rsidRPr="00D07C7C" w:rsidRDefault="00FE73C2" w:rsidP="00D07C7C">
      <w:pPr>
        <w:pStyle w:val="ECHRHeading2"/>
        <w:rPr>
          <w:lang w:val="fr-FR"/>
        </w:rPr>
      </w:pPr>
      <w:r w:rsidRPr="00D07C7C">
        <w:rPr>
          <w:lang w:val="fr-FR"/>
        </w:rPr>
        <w:t>A.  Sur la demande de radiation du rôle de la requête n</w:t>
      </w:r>
      <w:r w:rsidRPr="00D07C7C">
        <w:rPr>
          <w:vertAlign w:val="superscript"/>
          <w:lang w:val="fr-FR"/>
        </w:rPr>
        <w:t>o</w:t>
      </w:r>
      <w:r w:rsidRPr="00D07C7C">
        <w:rPr>
          <w:lang w:val="fr-FR"/>
        </w:rPr>
        <w:t> 43390/13 en ce qui concerne les requérants figurant sous les numéros 8-9, 13, 16, 20, 28-29, 32 et 33 dans la liste de l</w:t>
      </w:r>
      <w:r w:rsidR="00D07C7C" w:rsidRPr="00D07C7C">
        <w:rPr>
          <w:lang w:val="fr-FR"/>
        </w:rPr>
        <w:t>’</w:t>
      </w:r>
      <w:r w:rsidRPr="00D07C7C">
        <w:rPr>
          <w:lang w:val="fr-FR"/>
        </w:rPr>
        <w:t>annexe I</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92</w:t>
      </w:r>
      <w:r w:rsidRPr="00D07C7C">
        <w:rPr>
          <w:lang w:val="fr-FR"/>
        </w:rPr>
        <w:fldChar w:fldCharType="end"/>
      </w:r>
      <w:r w:rsidRPr="00D07C7C">
        <w:rPr>
          <w:lang w:val="fr-FR"/>
        </w:rPr>
        <w:t>.  La Cour a reçu des déclarations de règlement amiable, signées par les parties requérantes le 27 juillet 2016 et par le Gouvernement le 9 septembre 2016. Ce dernier s</w:t>
      </w:r>
      <w:r w:rsidR="00D07C7C" w:rsidRPr="00D07C7C">
        <w:rPr>
          <w:lang w:val="fr-FR"/>
        </w:rPr>
        <w:t>’</w:t>
      </w:r>
      <w:r w:rsidRPr="00D07C7C">
        <w:rPr>
          <w:lang w:val="fr-FR"/>
        </w:rPr>
        <w:t xml:space="preserve">engage à verser à chaque requérant la somme de </w:t>
      </w:r>
      <w:r w:rsidR="00BE7CE0" w:rsidRPr="00D07C7C">
        <w:rPr>
          <w:lang w:val="fr-FR"/>
        </w:rPr>
        <w:t>45 000 </w:t>
      </w:r>
      <w:r w:rsidRPr="00D07C7C">
        <w:rPr>
          <w:lang w:val="fr-FR"/>
        </w:rPr>
        <w:t>EUR (quarante-cinq mille euros) à titre de préjudice matériel et moral et pour les frais et dépens engagés tant devant la Cour que devant les juridictions internes, plus tout montant pouvant être dû à titre d</w:t>
      </w:r>
      <w:r w:rsidR="00D07C7C" w:rsidRPr="00D07C7C">
        <w:rPr>
          <w:lang w:val="fr-FR"/>
        </w:rPr>
        <w:t>’</w:t>
      </w:r>
      <w:r w:rsidRPr="00D07C7C">
        <w:rPr>
          <w:lang w:val="fr-FR"/>
        </w:rPr>
        <w:t>impôt par les intéressés, lesquels ont renoncé à toute autre prétention à l</w:t>
      </w:r>
      <w:r w:rsidR="00D07C7C" w:rsidRPr="00D07C7C">
        <w:rPr>
          <w:lang w:val="fr-FR"/>
        </w:rPr>
        <w:t>’</w:t>
      </w:r>
      <w:r w:rsidRPr="00D07C7C">
        <w:rPr>
          <w:lang w:val="fr-FR"/>
        </w:rPr>
        <w:t>encontre de l</w:t>
      </w:r>
      <w:r w:rsidR="00D07C7C" w:rsidRPr="00D07C7C">
        <w:rPr>
          <w:lang w:val="fr-FR"/>
        </w:rPr>
        <w:t>’</w:t>
      </w:r>
      <w:r w:rsidRPr="00D07C7C">
        <w:rPr>
          <w:lang w:val="fr-FR"/>
        </w:rPr>
        <w:t>Italie au sujet des faits à l</w:t>
      </w:r>
      <w:r w:rsidR="00D07C7C" w:rsidRPr="00D07C7C">
        <w:rPr>
          <w:lang w:val="fr-FR"/>
        </w:rPr>
        <w:t>’</w:t>
      </w:r>
      <w:r w:rsidRPr="00D07C7C">
        <w:rPr>
          <w:lang w:val="fr-FR"/>
        </w:rPr>
        <w:t>origine de leurs requêtes.</w:t>
      </w:r>
    </w:p>
    <w:p w:rsidR="00FE73C2" w:rsidRPr="00D07C7C" w:rsidRDefault="00FE73C2" w:rsidP="00D07C7C">
      <w:pPr>
        <w:pStyle w:val="ECHRPara"/>
        <w:rPr>
          <w:lang w:val="fr-FR"/>
        </w:rPr>
      </w:pPr>
      <w:r w:rsidRPr="00D07C7C">
        <w:rPr>
          <w:lang w:val="fr-FR"/>
        </w:rPr>
        <w:t>Cette somme sera versée dans les trois mois suivant la date de la notification de la décision de la Cour. À défaut de règlement dans ledit délai, le Gouvernement s</w:t>
      </w:r>
      <w:r w:rsidR="00D07C7C" w:rsidRPr="00D07C7C">
        <w:rPr>
          <w:lang w:val="fr-FR"/>
        </w:rPr>
        <w:t>’</w:t>
      </w:r>
      <w:r w:rsidRPr="00D07C7C">
        <w:rPr>
          <w:lang w:val="fr-FR"/>
        </w:rPr>
        <w:t>engage à verser, à compter de l</w:t>
      </w:r>
      <w:r w:rsidR="00D07C7C" w:rsidRPr="00D07C7C">
        <w:rPr>
          <w:lang w:val="fr-FR"/>
        </w:rPr>
        <w:t>’</w:t>
      </w:r>
      <w:r w:rsidRPr="00D07C7C">
        <w:rPr>
          <w:lang w:val="fr-FR"/>
        </w:rPr>
        <w:t>expiration de celui-ci et jusqu</w:t>
      </w:r>
      <w:r w:rsidR="00D07C7C" w:rsidRPr="00D07C7C">
        <w:rPr>
          <w:lang w:val="fr-FR"/>
        </w:rPr>
        <w:t>’</w:t>
      </w:r>
      <w:r w:rsidRPr="00D07C7C">
        <w:rPr>
          <w:lang w:val="fr-FR"/>
        </w:rPr>
        <w:t>au règlement effectif de la somme en question, un intérêt simple à un taux égal à celui de la facilité de prêt marginal de la Banque centrale européenne, augmenté de trois points de pourcentage. Ce versement vaudra règlement définitif de l</w:t>
      </w:r>
      <w:r w:rsidR="00D07C7C" w:rsidRPr="00D07C7C">
        <w:rPr>
          <w:lang w:val="fr-FR"/>
        </w:rPr>
        <w:t>’</w:t>
      </w:r>
      <w:r w:rsidRPr="00D07C7C">
        <w:rPr>
          <w:lang w:val="fr-FR"/>
        </w:rPr>
        <w:t>affaire.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93</w:t>
      </w:r>
      <w:r w:rsidRPr="00D07C7C">
        <w:rPr>
          <w:lang w:val="fr-FR"/>
        </w:rPr>
        <w:fldChar w:fldCharType="end"/>
      </w:r>
      <w:r w:rsidRPr="00D07C7C">
        <w:rPr>
          <w:lang w:val="fr-FR"/>
        </w:rPr>
        <w:t>.  La Cour prend acte du règlement amiable auquel les parties sont parvenues. Elle estime que ce règlement s</w:t>
      </w:r>
      <w:r w:rsidR="00D07C7C" w:rsidRPr="00D07C7C">
        <w:rPr>
          <w:lang w:val="fr-FR"/>
        </w:rPr>
        <w:t>’</w:t>
      </w:r>
      <w:r w:rsidRPr="00D07C7C">
        <w:rPr>
          <w:lang w:val="fr-FR"/>
        </w:rPr>
        <w:t>inspire du respect des droits de l</w:t>
      </w:r>
      <w:r w:rsidR="00D07C7C" w:rsidRPr="00D07C7C">
        <w:rPr>
          <w:lang w:val="fr-FR"/>
        </w:rPr>
        <w:t>’</w:t>
      </w:r>
      <w:r w:rsidRPr="00D07C7C">
        <w:rPr>
          <w:lang w:val="fr-FR"/>
        </w:rPr>
        <w:t>homme tels que les reconnaissent la Convention et ses Protocoles et ne voit par ailleurs aucun motif justifiant de poursuivre l</w:t>
      </w:r>
      <w:r w:rsidR="00D07C7C" w:rsidRPr="00D07C7C">
        <w:rPr>
          <w:lang w:val="fr-FR"/>
        </w:rPr>
        <w:t>’</w:t>
      </w:r>
      <w:r w:rsidRPr="00D07C7C">
        <w:rPr>
          <w:lang w:val="fr-FR"/>
        </w:rPr>
        <w:t>examen de la requête à l</w:t>
      </w:r>
      <w:r w:rsidR="00D07C7C" w:rsidRPr="00D07C7C">
        <w:rPr>
          <w:lang w:val="fr-FR"/>
        </w:rPr>
        <w:t>’</w:t>
      </w:r>
      <w:r w:rsidRPr="00D07C7C">
        <w:rPr>
          <w:lang w:val="fr-FR"/>
        </w:rPr>
        <w:t>égard des requérants concernés.</w:t>
      </w:r>
    </w:p>
    <w:bookmarkStart w:id="13" w:name="ACCEPTATION_REGLEMENT_AMIABLE"/>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94</w:t>
      </w:r>
      <w:r w:rsidRPr="00D07C7C">
        <w:rPr>
          <w:lang w:val="fr-FR"/>
        </w:rPr>
        <w:fldChar w:fldCharType="end"/>
      </w:r>
      <w:bookmarkEnd w:id="13"/>
      <w:r w:rsidRPr="00D07C7C">
        <w:rPr>
          <w:lang w:val="fr-FR"/>
        </w:rPr>
        <w:t>.  Partant, il convient de rayer l</w:t>
      </w:r>
      <w:r w:rsidR="00D07C7C" w:rsidRPr="00D07C7C">
        <w:rPr>
          <w:lang w:val="fr-FR"/>
        </w:rPr>
        <w:t>’</w:t>
      </w:r>
      <w:r w:rsidRPr="00D07C7C">
        <w:rPr>
          <w:lang w:val="fr-FR"/>
        </w:rPr>
        <w:t>affaire du rôle en ce qui concerne les requérants susmentionnés. La Cour continue l</w:t>
      </w:r>
      <w:r w:rsidR="00D07C7C" w:rsidRPr="00D07C7C">
        <w:rPr>
          <w:lang w:val="fr-FR"/>
        </w:rPr>
        <w:t>’</w:t>
      </w:r>
      <w:r w:rsidRPr="00D07C7C">
        <w:rPr>
          <w:lang w:val="fr-FR"/>
        </w:rPr>
        <w:t>examen de la requête n</w:t>
      </w:r>
      <w:r w:rsidRPr="00D07C7C">
        <w:rPr>
          <w:vertAlign w:val="superscript"/>
          <w:lang w:val="fr-FR"/>
        </w:rPr>
        <w:t>o</w:t>
      </w:r>
      <w:r w:rsidRPr="00D07C7C">
        <w:rPr>
          <w:lang w:val="fr-FR"/>
        </w:rPr>
        <w:t> 43390/13 à l</w:t>
      </w:r>
      <w:r w:rsidR="00D07C7C" w:rsidRPr="00D07C7C">
        <w:rPr>
          <w:lang w:val="fr-FR"/>
        </w:rPr>
        <w:t>’</w:t>
      </w:r>
      <w:r w:rsidRPr="00D07C7C">
        <w:rPr>
          <w:lang w:val="fr-FR"/>
        </w:rPr>
        <w:t>égard des autres requérants.</w:t>
      </w:r>
    </w:p>
    <w:p w:rsidR="00FE73C2" w:rsidRPr="00D07C7C" w:rsidRDefault="00FE73C2" w:rsidP="00D07C7C">
      <w:pPr>
        <w:pStyle w:val="ECHRHeading2"/>
        <w:rPr>
          <w:lang w:val="fr-FR"/>
        </w:rPr>
      </w:pPr>
      <w:r w:rsidRPr="00D07C7C">
        <w:rPr>
          <w:lang w:val="fr-FR"/>
        </w:rPr>
        <w:t>B.</w:t>
      </w:r>
      <w:r w:rsidR="00065A11" w:rsidRPr="00D07C7C">
        <w:rPr>
          <w:lang w:val="fr-FR"/>
        </w:rPr>
        <w:t>  </w:t>
      </w:r>
      <w:r w:rsidRPr="00D07C7C">
        <w:rPr>
          <w:lang w:val="fr-FR"/>
        </w:rPr>
        <w:t>Sur la demande de radiation du rôle de la requête n</w:t>
      </w:r>
      <w:r w:rsidRPr="00D07C7C">
        <w:rPr>
          <w:vertAlign w:val="superscript"/>
          <w:lang w:val="fr-FR"/>
        </w:rPr>
        <w:t>o</w:t>
      </w:r>
      <w:r w:rsidRPr="00D07C7C">
        <w:rPr>
          <w:lang w:val="fr-FR"/>
        </w:rPr>
        <w:t xml:space="preserve"> 43390/13 en ce qui concerne les requérants figurant sous les numéros 1, 6, 19 et 21 dans la liste de l</w:t>
      </w:r>
      <w:r w:rsidR="00D07C7C" w:rsidRPr="00D07C7C">
        <w:rPr>
          <w:lang w:val="fr-FR"/>
        </w:rPr>
        <w:t>’</w:t>
      </w:r>
      <w:r w:rsidRPr="00D07C7C">
        <w:rPr>
          <w:lang w:val="fr-FR"/>
        </w:rPr>
        <w:t>annexe I</w:t>
      </w:r>
    </w:p>
    <w:p w:rsidR="00FE73C2" w:rsidRPr="00D07C7C" w:rsidRDefault="00FE73C2" w:rsidP="00D07C7C">
      <w:pPr>
        <w:pStyle w:val="ECHRPara"/>
        <w:rPr>
          <w:lang w:val="fr-CA"/>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95</w:t>
      </w:r>
      <w:r w:rsidRPr="00D07C7C">
        <w:rPr>
          <w:lang w:val="fr-FR"/>
        </w:rPr>
        <w:fldChar w:fldCharType="end"/>
      </w:r>
      <w:r w:rsidRPr="00D07C7C">
        <w:rPr>
          <w:lang w:val="fr-FR"/>
        </w:rPr>
        <w:t xml:space="preserve">.  Les quatre requérants </w:t>
      </w:r>
      <w:r w:rsidRPr="00D07C7C">
        <w:rPr>
          <w:lang w:val="fr-CA"/>
        </w:rPr>
        <w:t>informent la Cour de leur souhait de se désister de la requête n</w:t>
      </w:r>
      <w:r w:rsidRPr="00D07C7C">
        <w:rPr>
          <w:vertAlign w:val="superscript"/>
          <w:lang w:val="fr-CA"/>
        </w:rPr>
        <w:t>o</w:t>
      </w:r>
      <w:r w:rsidRPr="00D07C7C">
        <w:rPr>
          <w:lang w:val="fr-CA"/>
        </w:rPr>
        <w:t xml:space="preserve"> 43390/13 en raison de la réparation reçue de la part du ministère de l</w:t>
      </w:r>
      <w:r w:rsidR="00D07C7C" w:rsidRPr="00D07C7C">
        <w:rPr>
          <w:lang w:val="fr-CA"/>
        </w:rPr>
        <w:t>’</w:t>
      </w:r>
      <w:r w:rsidRPr="00D07C7C">
        <w:rPr>
          <w:lang w:val="fr-CA"/>
        </w:rPr>
        <w:t>Intérieur pour les dommages dont ils ont été victimes.</w:t>
      </w:r>
    </w:p>
    <w:bookmarkStart w:id="14" w:name="DESISTEMENT"/>
    <w:p w:rsidR="00FE73C2" w:rsidRPr="00D07C7C" w:rsidRDefault="00FE73C2" w:rsidP="00D07C7C">
      <w:pPr>
        <w:pStyle w:val="ECHRPara"/>
        <w:rPr>
          <w:lang w:val="fr-CA"/>
        </w:rPr>
      </w:pPr>
      <w:r w:rsidRPr="00D07C7C">
        <w:rPr>
          <w:lang w:val="fr-CA"/>
        </w:rPr>
        <w:lastRenderedPageBreak/>
        <w:fldChar w:fldCharType="begin"/>
      </w:r>
      <w:r w:rsidRPr="00D07C7C">
        <w:rPr>
          <w:lang w:val="fr-CA"/>
        </w:rPr>
        <w:instrText xml:space="preserve"> SEQ level0 \*arabic </w:instrText>
      </w:r>
      <w:r w:rsidRPr="00D07C7C">
        <w:rPr>
          <w:lang w:val="fr-CA"/>
        </w:rPr>
        <w:fldChar w:fldCharType="separate"/>
      </w:r>
      <w:r w:rsidR="00D07C7C" w:rsidRPr="00D07C7C">
        <w:rPr>
          <w:noProof/>
          <w:lang w:val="fr-CA"/>
        </w:rPr>
        <w:t>96</w:t>
      </w:r>
      <w:r w:rsidRPr="00D07C7C">
        <w:rPr>
          <w:lang w:val="fr-CA"/>
        </w:rPr>
        <w:fldChar w:fldCharType="end"/>
      </w:r>
      <w:bookmarkEnd w:id="14"/>
      <w:r w:rsidRPr="00D07C7C">
        <w:rPr>
          <w:lang w:val="fr-CA"/>
        </w:rPr>
        <w:t>.  La Cour estime qu</w:t>
      </w:r>
      <w:r w:rsidR="00D07C7C" w:rsidRPr="00D07C7C">
        <w:rPr>
          <w:lang w:val="fr-CA"/>
        </w:rPr>
        <w:t>’</w:t>
      </w:r>
      <w:r w:rsidRPr="00D07C7C">
        <w:rPr>
          <w:lang w:val="fr-CA"/>
        </w:rPr>
        <w:t>il convient de rayer l</w:t>
      </w:r>
      <w:r w:rsidR="00D07C7C" w:rsidRPr="00D07C7C">
        <w:rPr>
          <w:lang w:val="fr-CA"/>
        </w:rPr>
        <w:t>’</w:t>
      </w:r>
      <w:r w:rsidRPr="00D07C7C">
        <w:rPr>
          <w:lang w:val="fr-CA"/>
        </w:rPr>
        <w:t>affaire du rôle en ce qui concerne les requérants susmentionnés, en application de l</w:t>
      </w:r>
      <w:r w:rsidR="00D07C7C" w:rsidRPr="00D07C7C">
        <w:rPr>
          <w:lang w:val="fr-CA"/>
        </w:rPr>
        <w:t>’</w:t>
      </w:r>
      <w:r w:rsidRPr="00D07C7C">
        <w:rPr>
          <w:lang w:val="fr-CA"/>
        </w:rPr>
        <w:t>article 37 § 1 a) de la Convention.</w:t>
      </w:r>
    </w:p>
    <w:p w:rsidR="00FE73C2" w:rsidRPr="00D07C7C" w:rsidRDefault="00FE73C2" w:rsidP="00D07C7C">
      <w:pPr>
        <w:pStyle w:val="ECHRHeading2"/>
        <w:rPr>
          <w:lang w:val="fr-FR"/>
        </w:rPr>
      </w:pPr>
      <w:r w:rsidRPr="00D07C7C">
        <w:rPr>
          <w:lang w:val="fr-FR"/>
        </w:rPr>
        <w:t>C.  Sur les requêtes n</w:t>
      </w:r>
      <w:r w:rsidRPr="00D07C7C">
        <w:rPr>
          <w:vertAlign w:val="superscript"/>
          <w:lang w:val="fr-FR"/>
        </w:rPr>
        <w:t>o</w:t>
      </w:r>
      <w:r w:rsidRPr="00D07C7C">
        <w:rPr>
          <w:lang w:val="fr-FR"/>
        </w:rPr>
        <w:t> 12131/13 et n</w:t>
      </w:r>
      <w:r w:rsidRPr="00D07C7C">
        <w:rPr>
          <w:vertAlign w:val="superscript"/>
          <w:lang w:val="fr-FR"/>
        </w:rPr>
        <w:t>o</w:t>
      </w:r>
      <w:r w:rsidRPr="00D07C7C">
        <w:rPr>
          <w:lang w:val="fr-FR"/>
        </w:rPr>
        <w:t> 43390/13 en ce qui concerne les requérants figurant sous les numéros 2-5, 7, 10-12, 14-15, 17-18, 22</w:t>
      </w:r>
      <w:r w:rsidR="00BE7CE0" w:rsidRPr="00D07C7C">
        <w:rPr>
          <w:lang w:val="fr-FR"/>
        </w:rPr>
        <w:noBreakHyphen/>
      </w:r>
      <w:r w:rsidRPr="00D07C7C">
        <w:rPr>
          <w:lang w:val="fr-FR"/>
        </w:rPr>
        <w:t>27, 30-31, 34 et 35 dans la liste de l</w:t>
      </w:r>
      <w:r w:rsidR="00D07C7C" w:rsidRPr="00D07C7C">
        <w:rPr>
          <w:lang w:val="fr-FR"/>
        </w:rPr>
        <w:t>’</w:t>
      </w:r>
      <w:r w:rsidRPr="00D07C7C">
        <w:rPr>
          <w:lang w:val="fr-FR"/>
        </w:rPr>
        <w:t>annexe I</w:t>
      </w:r>
    </w:p>
    <w:p w:rsidR="00FE73C2" w:rsidRPr="00D07C7C" w:rsidRDefault="00FE73C2" w:rsidP="00D07C7C">
      <w:pPr>
        <w:pStyle w:val="ECHRHeading3"/>
        <w:rPr>
          <w:lang w:val="fr-FR"/>
        </w:rPr>
      </w:pPr>
      <w:r w:rsidRPr="00D07C7C">
        <w:rPr>
          <w:lang w:val="fr-FR"/>
        </w:rPr>
        <w:t>1.  Sur la recevabilité</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97</w:t>
      </w:r>
      <w:r w:rsidRPr="00D07C7C">
        <w:rPr>
          <w:lang w:val="fr-FR"/>
        </w:rPr>
        <w:fldChar w:fldCharType="end"/>
      </w:r>
      <w:r w:rsidRPr="00D07C7C">
        <w:rPr>
          <w:lang w:val="fr-FR"/>
        </w:rPr>
        <w:t>.  Le Gouvernement excipe du caractère abusif de la requête n</w:t>
      </w:r>
      <w:r w:rsidRPr="00D07C7C">
        <w:rPr>
          <w:vertAlign w:val="superscript"/>
          <w:lang w:val="fr-FR"/>
        </w:rPr>
        <w:t>o</w:t>
      </w:r>
      <w:r w:rsidRPr="00D07C7C">
        <w:rPr>
          <w:lang w:val="fr-FR"/>
        </w:rPr>
        <w:t> 12131/13, les requérants concernés ayant déjà introduits deux autres requêtes, actuellement pendantes devant la Cour (requêtes n</w:t>
      </w:r>
      <w:r w:rsidRPr="00D07C7C">
        <w:rPr>
          <w:vertAlign w:val="superscript"/>
          <w:lang w:val="fr-FR"/>
        </w:rPr>
        <w:t>os </w:t>
      </w:r>
      <w:r w:rsidRPr="00D07C7C">
        <w:rPr>
          <w:lang w:val="fr-FR"/>
        </w:rPr>
        <w:t>28923/09 et 67599/10). Il invoque à ce titre l</w:t>
      </w:r>
      <w:r w:rsidR="00D07C7C" w:rsidRPr="00D07C7C">
        <w:rPr>
          <w:lang w:val="fr-FR"/>
        </w:rPr>
        <w:t>’</w:t>
      </w:r>
      <w:r w:rsidRPr="00D07C7C">
        <w:rPr>
          <w:lang w:val="fr-FR"/>
        </w:rPr>
        <w:t>article 35 §§ 2 b) et 3 a) de la Convention.</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98</w:t>
      </w:r>
      <w:r w:rsidRPr="00D07C7C">
        <w:rPr>
          <w:lang w:val="fr-FR"/>
        </w:rPr>
        <w:fldChar w:fldCharType="end"/>
      </w:r>
      <w:r w:rsidRPr="00D07C7C">
        <w:rPr>
          <w:lang w:val="fr-FR"/>
        </w:rPr>
        <w:t>.  La Cour observe d</w:t>
      </w:r>
      <w:r w:rsidR="00D07C7C" w:rsidRPr="00D07C7C">
        <w:rPr>
          <w:lang w:val="fr-FR"/>
        </w:rPr>
        <w:t>’</w:t>
      </w:r>
      <w:r w:rsidRPr="00D07C7C">
        <w:rPr>
          <w:lang w:val="fr-FR"/>
        </w:rPr>
        <w:t>abord que les deux requêtes mentionnées par le Gouvernement portent sur des faits différents de ceux évoqués ici par les requérants. En particulier, elles ont pour objet des allégations de mauvais traitements infligés à l</w:t>
      </w:r>
      <w:r w:rsidR="00D07C7C" w:rsidRPr="00D07C7C">
        <w:rPr>
          <w:lang w:val="fr-FR"/>
        </w:rPr>
        <w:t>’</w:t>
      </w:r>
      <w:r w:rsidRPr="00D07C7C">
        <w:rPr>
          <w:lang w:val="fr-FR"/>
        </w:rPr>
        <w:t>intérieur de la caserne de Bolzaneto, à Gênes. De surcroît, les événements sur lesquels portent ces requêtes sont chronologiquement postérieurs aux faits litigieux des présentes affaires.</w:t>
      </w:r>
    </w:p>
    <w:p w:rsidR="00FE73C2" w:rsidRPr="00D07C7C" w:rsidRDefault="00FE73C2" w:rsidP="00D07C7C">
      <w:pPr>
        <w:pStyle w:val="ECHRPara"/>
        <w:rPr>
          <w:lang w:val="fr-FR"/>
        </w:rPr>
      </w:pPr>
      <w:r w:rsidRPr="00D07C7C">
        <w:rPr>
          <w:lang w:val="fr-FR"/>
        </w:rPr>
        <w:t>Dès lors, la Cour constate que la requête n</w:t>
      </w:r>
      <w:r w:rsidRPr="00D07C7C">
        <w:rPr>
          <w:vertAlign w:val="superscript"/>
          <w:lang w:val="fr-FR"/>
        </w:rPr>
        <w:t>o</w:t>
      </w:r>
      <w:r w:rsidRPr="00D07C7C">
        <w:rPr>
          <w:lang w:val="fr-FR"/>
        </w:rPr>
        <w:t> 12131/13 n</w:t>
      </w:r>
      <w:r w:rsidR="00D07C7C" w:rsidRPr="00D07C7C">
        <w:rPr>
          <w:lang w:val="fr-FR"/>
        </w:rPr>
        <w:t>’</w:t>
      </w:r>
      <w:r w:rsidRPr="00D07C7C">
        <w:rPr>
          <w:lang w:val="fr-FR"/>
        </w:rPr>
        <w:t>est pas essentiellement la même que les requêtes n</w:t>
      </w:r>
      <w:r w:rsidRPr="00D07C7C">
        <w:rPr>
          <w:vertAlign w:val="superscript"/>
          <w:lang w:val="fr-FR"/>
        </w:rPr>
        <w:t xml:space="preserve">os </w:t>
      </w:r>
      <w:r w:rsidRPr="00D07C7C">
        <w:rPr>
          <w:lang w:val="fr-FR"/>
        </w:rPr>
        <w:t>28923/09 et 67599/10 et qu</w:t>
      </w:r>
      <w:r w:rsidR="00D07C7C" w:rsidRPr="00D07C7C">
        <w:rPr>
          <w:lang w:val="fr-FR"/>
        </w:rPr>
        <w:t>’</w:t>
      </w:r>
      <w:r w:rsidRPr="00D07C7C">
        <w:rPr>
          <w:lang w:val="fr-FR"/>
        </w:rPr>
        <w:t>elle ne saurait être rejetée, en application de l</w:t>
      </w:r>
      <w:r w:rsidR="00D07C7C" w:rsidRPr="00D07C7C">
        <w:rPr>
          <w:lang w:val="fr-FR"/>
        </w:rPr>
        <w:t>’</w:t>
      </w:r>
      <w:r w:rsidRPr="00D07C7C">
        <w:rPr>
          <w:lang w:val="fr-FR"/>
        </w:rPr>
        <w:t>article 35 § 2 b)</w:t>
      </w:r>
      <w:r w:rsidRPr="00D07C7C">
        <w:rPr>
          <w:b/>
          <w:lang w:val="fr-FR"/>
        </w:rPr>
        <w:t xml:space="preserve"> </w:t>
      </w:r>
      <w:r w:rsidRPr="00D07C7C">
        <w:rPr>
          <w:lang w:val="fr-FR"/>
        </w:rPr>
        <w:t>de la Convention. Ces mêmes constats permettent de conclure au rejet de l</w:t>
      </w:r>
      <w:r w:rsidR="00D07C7C" w:rsidRPr="00D07C7C">
        <w:rPr>
          <w:lang w:val="fr-FR"/>
        </w:rPr>
        <w:t>’</w:t>
      </w:r>
      <w:r w:rsidRPr="00D07C7C">
        <w:rPr>
          <w:lang w:val="fr-FR"/>
        </w:rPr>
        <w:t>exception préliminaire tirée du caractère abusif de la requête précitée.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99</w:t>
      </w:r>
      <w:r w:rsidRPr="00D07C7C">
        <w:rPr>
          <w:lang w:val="fr-FR"/>
        </w:rPr>
        <w:fldChar w:fldCharType="end"/>
      </w:r>
      <w:r w:rsidRPr="00D07C7C">
        <w:rPr>
          <w:lang w:val="fr-FR"/>
        </w:rPr>
        <w:t>.  Constatant que ces requêtes ne sont pas manifestement mal fondées au sens de l</w:t>
      </w:r>
      <w:r w:rsidR="00D07C7C" w:rsidRPr="00D07C7C">
        <w:rPr>
          <w:lang w:val="fr-FR"/>
        </w:rPr>
        <w:t>’</w:t>
      </w:r>
      <w:r w:rsidRPr="00D07C7C">
        <w:rPr>
          <w:lang w:val="fr-FR"/>
        </w:rPr>
        <w:t>article 35 § 3 a) de la Convention et qu</w:t>
      </w:r>
      <w:r w:rsidR="00D07C7C" w:rsidRPr="00D07C7C">
        <w:rPr>
          <w:lang w:val="fr-FR"/>
        </w:rPr>
        <w:t>’</w:t>
      </w:r>
      <w:r w:rsidRPr="00D07C7C">
        <w:rPr>
          <w:lang w:val="fr-FR"/>
        </w:rPr>
        <w:t>elles ne se heurtent par ailleurs à aucun autre motif d</w:t>
      </w:r>
      <w:r w:rsidR="00D07C7C" w:rsidRPr="00D07C7C">
        <w:rPr>
          <w:lang w:val="fr-FR"/>
        </w:rPr>
        <w:t>’</w:t>
      </w:r>
      <w:r w:rsidRPr="00D07C7C">
        <w:rPr>
          <w:lang w:val="fr-FR"/>
        </w:rPr>
        <w:t>irrecevabilité, la Cour les déclare recevables.</w:t>
      </w:r>
    </w:p>
    <w:p w:rsidR="00FE73C2" w:rsidRPr="00D07C7C" w:rsidRDefault="00FE73C2" w:rsidP="00D07C7C">
      <w:pPr>
        <w:pStyle w:val="ECHRHeading3"/>
        <w:rPr>
          <w:i w:val="0"/>
          <w:lang w:val="fr-FR"/>
        </w:rPr>
      </w:pPr>
      <w:r w:rsidRPr="00D07C7C">
        <w:rPr>
          <w:lang w:val="fr-FR"/>
        </w:rPr>
        <w:t>2. </w:t>
      </w:r>
      <w:r w:rsidR="00C456AA" w:rsidRPr="00D07C7C">
        <w:rPr>
          <w:lang w:val="fr-FR"/>
        </w:rPr>
        <w:t> </w:t>
      </w:r>
      <w:r w:rsidRPr="00D07C7C">
        <w:rPr>
          <w:lang w:val="fr-FR"/>
        </w:rPr>
        <w:t>Sur le fond</w:t>
      </w:r>
    </w:p>
    <w:p w:rsidR="00FE73C2" w:rsidRPr="00D07C7C" w:rsidRDefault="00FE73C2" w:rsidP="00D07C7C">
      <w:pPr>
        <w:pStyle w:val="ECHRHeading4"/>
        <w:rPr>
          <w:lang w:val="fr-FR"/>
        </w:rPr>
      </w:pPr>
      <w:r w:rsidRPr="00D07C7C">
        <w:rPr>
          <w:lang w:val="fr-FR"/>
        </w:rPr>
        <w:t>a)  Thèses des parties</w:t>
      </w:r>
    </w:p>
    <w:p w:rsidR="00FE73C2" w:rsidRPr="00D07C7C" w:rsidRDefault="00FE73C2" w:rsidP="00D07C7C">
      <w:pPr>
        <w:pStyle w:val="ECHRHeading5"/>
        <w:rPr>
          <w:lang w:val="fr-FR"/>
        </w:rPr>
      </w:pPr>
      <w:r w:rsidRPr="00D07C7C">
        <w:rPr>
          <w:rFonts w:cstheme="majorHAnsi"/>
          <w:lang w:val="fr-FR"/>
        </w:rPr>
        <w:t>i</w:t>
      </w:r>
      <w:r w:rsidRPr="00D07C7C">
        <w:rPr>
          <w:lang w:val="fr-FR"/>
        </w:rPr>
        <w:t>.  Les requérants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100</w:t>
      </w:r>
      <w:r w:rsidRPr="00D07C7C">
        <w:rPr>
          <w:lang w:val="fr-FR"/>
        </w:rPr>
        <w:fldChar w:fldCharType="end"/>
      </w:r>
      <w:r w:rsidRPr="00D07C7C">
        <w:rPr>
          <w:lang w:val="fr-FR"/>
        </w:rPr>
        <w:t>.  Les requérants allèguent qu</w:t>
      </w:r>
      <w:r w:rsidR="00D07C7C" w:rsidRPr="00D07C7C">
        <w:rPr>
          <w:lang w:val="fr-FR"/>
        </w:rPr>
        <w:t>’</w:t>
      </w:r>
      <w:r w:rsidRPr="00D07C7C">
        <w:rPr>
          <w:lang w:val="fr-FR"/>
        </w:rPr>
        <w:t>ils ont subi des mauvais traitements lors de l</w:t>
      </w:r>
      <w:r w:rsidR="00D07C7C" w:rsidRPr="00D07C7C">
        <w:rPr>
          <w:lang w:val="fr-FR"/>
        </w:rPr>
        <w:t>’</w:t>
      </w:r>
      <w:r w:rsidRPr="00D07C7C">
        <w:rPr>
          <w:lang w:val="fr-FR"/>
        </w:rPr>
        <w:t>irruption des policiers à l</w:t>
      </w:r>
      <w:r w:rsidR="00D07C7C" w:rsidRPr="00D07C7C">
        <w:rPr>
          <w:lang w:val="fr-FR"/>
        </w:rPr>
        <w:t>’</w:t>
      </w:r>
      <w:r w:rsidRPr="00D07C7C">
        <w:rPr>
          <w:lang w:val="fr-FR"/>
        </w:rPr>
        <w:t>intérieur de l</w:t>
      </w:r>
      <w:r w:rsidR="00D07C7C" w:rsidRPr="00D07C7C">
        <w:rPr>
          <w:lang w:val="fr-FR"/>
        </w:rPr>
        <w:t>’</w:t>
      </w:r>
      <w:r w:rsidRPr="00D07C7C">
        <w:rPr>
          <w:lang w:val="fr-FR"/>
        </w:rPr>
        <w:t>école Diaz-Pertini, et qu</w:t>
      </w:r>
      <w:r w:rsidR="00D07C7C" w:rsidRPr="00D07C7C">
        <w:rPr>
          <w:lang w:val="fr-FR"/>
        </w:rPr>
        <w:t>’</w:t>
      </w:r>
      <w:r w:rsidRPr="00D07C7C">
        <w:rPr>
          <w:lang w:val="fr-FR"/>
        </w:rPr>
        <w:t>ils ont fait l</w:t>
      </w:r>
      <w:r w:rsidR="00D07C7C" w:rsidRPr="00D07C7C">
        <w:rPr>
          <w:lang w:val="fr-FR"/>
        </w:rPr>
        <w:t>’</w:t>
      </w:r>
      <w:r w:rsidRPr="00D07C7C">
        <w:rPr>
          <w:lang w:val="fr-FR"/>
        </w:rPr>
        <w:t>objet d</w:t>
      </w:r>
      <w:r w:rsidR="00D07C7C" w:rsidRPr="00D07C7C">
        <w:rPr>
          <w:lang w:val="fr-FR"/>
        </w:rPr>
        <w:t>’</w:t>
      </w:r>
      <w:r w:rsidRPr="00D07C7C">
        <w:rPr>
          <w:lang w:val="fr-FR"/>
        </w:rPr>
        <w:t>une violence disproportionnée et non justifiée qu</w:t>
      </w:r>
      <w:r w:rsidR="00D07C7C" w:rsidRPr="00D07C7C">
        <w:rPr>
          <w:lang w:val="fr-FR"/>
        </w:rPr>
        <w:t>’</w:t>
      </w:r>
      <w:r w:rsidRPr="00D07C7C">
        <w:rPr>
          <w:lang w:val="fr-FR"/>
        </w:rPr>
        <w:t>ils qualifient de torture ou de traitements inhumains et dégradants.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101</w:t>
      </w:r>
      <w:r w:rsidRPr="00D07C7C">
        <w:rPr>
          <w:lang w:val="fr-FR"/>
        </w:rPr>
        <w:fldChar w:fldCharType="end"/>
      </w:r>
      <w:r w:rsidRPr="00D07C7C">
        <w:rPr>
          <w:lang w:val="fr-FR"/>
        </w:rPr>
        <w:t>.  Les requérants se plaignent également de l</w:t>
      </w:r>
      <w:r w:rsidR="00D07C7C" w:rsidRPr="00D07C7C">
        <w:rPr>
          <w:lang w:val="fr-FR"/>
        </w:rPr>
        <w:t>’</w:t>
      </w:r>
      <w:r w:rsidRPr="00D07C7C">
        <w:rPr>
          <w:lang w:val="fr-FR"/>
        </w:rPr>
        <w:t>issue de la procédure pénale, et ce pour plusieurs raisons. En particulier, ils contestent le défaut d</w:t>
      </w:r>
      <w:r w:rsidR="00D07C7C" w:rsidRPr="00D07C7C">
        <w:rPr>
          <w:lang w:val="fr-FR"/>
        </w:rPr>
        <w:t>’</w:t>
      </w:r>
      <w:r w:rsidRPr="00D07C7C">
        <w:rPr>
          <w:lang w:val="fr-FR"/>
        </w:rPr>
        <w:t>identification de la plupart des auteurs matériels des faits de violence et critiquent les conséquences de l</w:t>
      </w:r>
      <w:r w:rsidR="00D07C7C" w:rsidRPr="00D07C7C">
        <w:rPr>
          <w:lang w:val="fr-FR"/>
        </w:rPr>
        <w:t>’</w:t>
      </w:r>
      <w:r w:rsidRPr="00D07C7C">
        <w:rPr>
          <w:lang w:val="fr-FR"/>
        </w:rPr>
        <w:t>absence du délit de torture dans le système pénal national et surtout celles de l</w:t>
      </w:r>
      <w:r w:rsidR="00D07C7C" w:rsidRPr="00D07C7C">
        <w:rPr>
          <w:lang w:val="fr-FR"/>
        </w:rPr>
        <w:t>’</w:t>
      </w:r>
      <w:r w:rsidRPr="00D07C7C">
        <w:rPr>
          <w:lang w:val="fr-FR"/>
        </w:rPr>
        <w:t xml:space="preserve">application de la prescription aux infractions attribuées aux inculpés, qui auraient empêché les autorités </w:t>
      </w:r>
      <w:r w:rsidRPr="00D07C7C">
        <w:rPr>
          <w:lang w:val="fr-FR"/>
        </w:rPr>
        <w:lastRenderedPageBreak/>
        <w:t>judiciaires de parvenir à la reconnaissance expresse et substantiel</w:t>
      </w:r>
      <w:r w:rsidR="00BE7CE0" w:rsidRPr="00D07C7C">
        <w:rPr>
          <w:lang w:val="fr-FR"/>
        </w:rPr>
        <w:t>le de la violation de l</w:t>
      </w:r>
      <w:r w:rsidR="00D07C7C" w:rsidRPr="00D07C7C">
        <w:rPr>
          <w:lang w:val="fr-FR"/>
        </w:rPr>
        <w:t>’</w:t>
      </w:r>
      <w:r w:rsidR="00BE7CE0" w:rsidRPr="00D07C7C">
        <w:rPr>
          <w:lang w:val="fr-FR"/>
        </w:rPr>
        <w:t>article </w:t>
      </w:r>
      <w:r w:rsidRPr="00D07C7C">
        <w:rPr>
          <w:lang w:val="fr-FR"/>
        </w:rPr>
        <w:t>3 de la Convention.</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102</w:t>
      </w:r>
      <w:r w:rsidRPr="00D07C7C">
        <w:rPr>
          <w:lang w:val="fr-FR"/>
        </w:rPr>
        <w:fldChar w:fldCharType="end"/>
      </w:r>
      <w:r w:rsidRPr="00D07C7C">
        <w:rPr>
          <w:lang w:val="fr-FR"/>
        </w:rPr>
        <w:t>.  Ils soutiennent en outre que, nonobstant l</w:t>
      </w:r>
      <w:r w:rsidR="00D07C7C" w:rsidRPr="00D07C7C">
        <w:rPr>
          <w:lang w:val="fr-FR"/>
        </w:rPr>
        <w:t>’</w:t>
      </w:r>
      <w:r w:rsidRPr="00D07C7C">
        <w:rPr>
          <w:lang w:val="fr-FR"/>
        </w:rPr>
        <w:t xml:space="preserve">arrêt </w:t>
      </w:r>
      <w:r w:rsidRPr="00D07C7C">
        <w:rPr>
          <w:i/>
          <w:lang w:val="fr-FR"/>
        </w:rPr>
        <w:t xml:space="preserve">Cestaro </w:t>
      </w:r>
      <w:r w:rsidRPr="00D07C7C">
        <w:rPr>
          <w:lang w:val="fr-FR"/>
        </w:rPr>
        <w:t>(précité), le législateur italien n</w:t>
      </w:r>
      <w:r w:rsidR="00D07C7C" w:rsidRPr="00D07C7C">
        <w:rPr>
          <w:lang w:val="fr-FR"/>
        </w:rPr>
        <w:t>’</w:t>
      </w:r>
      <w:r w:rsidRPr="00D07C7C">
        <w:rPr>
          <w:lang w:val="fr-FR"/>
        </w:rPr>
        <w:t>a pas encore adopté le projet de loi visant à introduire dans l</w:t>
      </w:r>
      <w:r w:rsidR="00D07C7C" w:rsidRPr="00D07C7C">
        <w:rPr>
          <w:lang w:val="fr-FR"/>
        </w:rPr>
        <w:t>’</w:t>
      </w:r>
      <w:r w:rsidRPr="00D07C7C">
        <w:rPr>
          <w:lang w:val="fr-FR"/>
        </w:rPr>
        <w:t>ordre juridique national les dispositions punissant ce type d</w:t>
      </w:r>
      <w:r w:rsidR="00D07C7C" w:rsidRPr="00D07C7C">
        <w:rPr>
          <w:lang w:val="fr-FR"/>
        </w:rPr>
        <w:t>’</w:t>
      </w:r>
      <w:r w:rsidRPr="00D07C7C">
        <w:rPr>
          <w:lang w:val="fr-FR"/>
        </w:rPr>
        <w:t>infractions.</w:t>
      </w:r>
    </w:p>
    <w:p w:rsidR="00FE73C2" w:rsidRPr="00D07C7C" w:rsidRDefault="00FE73C2" w:rsidP="00D07C7C">
      <w:pPr>
        <w:pStyle w:val="ECHRHeading5"/>
        <w:rPr>
          <w:lang w:val="fr-FR"/>
        </w:rPr>
      </w:pPr>
      <w:r w:rsidRPr="00D07C7C">
        <w:rPr>
          <w:rFonts w:cstheme="majorHAnsi"/>
          <w:lang w:val="fr-FR"/>
        </w:rPr>
        <w:t>ii</w:t>
      </w:r>
      <w:r w:rsidRPr="00D07C7C">
        <w:rPr>
          <w:lang w:val="fr-FR"/>
        </w:rPr>
        <w:t>.  Le Gouvernement</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103</w:t>
      </w:r>
      <w:r w:rsidRPr="00D07C7C">
        <w:rPr>
          <w:lang w:val="fr-FR"/>
        </w:rPr>
        <w:fldChar w:fldCharType="end"/>
      </w:r>
      <w:r w:rsidRPr="00D07C7C">
        <w:rPr>
          <w:lang w:val="fr-FR"/>
        </w:rPr>
        <w:t>.  Le Gouvernement assure qu</w:t>
      </w:r>
      <w:r w:rsidR="00D07C7C" w:rsidRPr="00D07C7C">
        <w:rPr>
          <w:lang w:val="fr-FR"/>
        </w:rPr>
        <w:t>’</w:t>
      </w:r>
      <w:r w:rsidRPr="00D07C7C">
        <w:rPr>
          <w:lang w:val="fr-FR"/>
        </w:rPr>
        <w:t>il ne sous-estime pas l</w:t>
      </w:r>
      <w:r w:rsidR="00D07C7C" w:rsidRPr="00D07C7C">
        <w:rPr>
          <w:lang w:val="fr-FR"/>
        </w:rPr>
        <w:t>’</w:t>
      </w:r>
      <w:r w:rsidRPr="00D07C7C">
        <w:rPr>
          <w:lang w:val="fr-FR"/>
        </w:rPr>
        <w:t>importance des faits qui se sont déroulés dans l</w:t>
      </w:r>
      <w:r w:rsidR="00D07C7C" w:rsidRPr="00D07C7C">
        <w:rPr>
          <w:lang w:val="fr-FR"/>
        </w:rPr>
        <w:t>’</w:t>
      </w:r>
      <w:r w:rsidRPr="00D07C7C">
        <w:rPr>
          <w:lang w:val="fr-FR"/>
        </w:rPr>
        <w:t>école Diaz-Pertini, et admet que des actes très graves et déplorables ont été commis par les agents de police au cours de l</w:t>
      </w:r>
      <w:r w:rsidR="00D07C7C" w:rsidRPr="00D07C7C">
        <w:rPr>
          <w:lang w:val="fr-FR"/>
        </w:rPr>
        <w:t>’</w:t>
      </w:r>
      <w:r w:rsidRPr="00D07C7C">
        <w:rPr>
          <w:lang w:val="fr-FR"/>
        </w:rPr>
        <w:t>opération litigieuse.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104</w:t>
      </w:r>
      <w:r w:rsidRPr="00D07C7C">
        <w:rPr>
          <w:lang w:val="fr-FR"/>
        </w:rPr>
        <w:fldChar w:fldCharType="end"/>
      </w:r>
      <w:r w:rsidRPr="00D07C7C">
        <w:rPr>
          <w:lang w:val="fr-FR"/>
        </w:rPr>
        <w:t>.  Le Gouvernement déclare que l</w:t>
      </w:r>
      <w:r w:rsidR="00D07C7C" w:rsidRPr="00D07C7C">
        <w:rPr>
          <w:lang w:val="fr-FR"/>
        </w:rPr>
        <w:t>’</w:t>
      </w:r>
      <w:r w:rsidRPr="00D07C7C">
        <w:rPr>
          <w:lang w:val="fr-FR"/>
        </w:rPr>
        <w:t>État italien reconnaît pleinement la commission des violations et il indique adhérer au jugement des autorités judiciaires internes qui ont, à ses yeux, très durement stigmatisé le comportement des agents de police.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105</w:t>
      </w:r>
      <w:r w:rsidRPr="00D07C7C">
        <w:rPr>
          <w:lang w:val="fr-FR"/>
        </w:rPr>
        <w:fldChar w:fldCharType="end"/>
      </w:r>
      <w:r w:rsidRPr="00D07C7C">
        <w:rPr>
          <w:lang w:val="fr-FR"/>
        </w:rPr>
        <w:t>.  S</w:t>
      </w:r>
      <w:r w:rsidR="00D07C7C" w:rsidRPr="00D07C7C">
        <w:rPr>
          <w:lang w:val="fr-FR"/>
        </w:rPr>
        <w:t>’</w:t>
      </w:r>
      <w:r w:rsidRPr="00D07C7C">
        <w:rPr>
          <w:lang w:val="fr-FR"/>
        </w:rPr>
        <w:t>agissant du volet procédural de l</w:t>
      </w:r>
      <w:r w:rsidR="00D07C7C" w:rsidRPr="00D07C7C">
        <w:rPr>
          <w:lang w:val="fr-FR"/>
        </w:rPr>
        <w:t>’</w:t>
      </w:r>
      <w:r w:rsidRPr="00D07C7C">
        <w:rPr>
          <w:lang w:val="fr-FR"/>
        </w:rPr>
        <w:t>article 3 de la Convention, le Gouvernement soutient avoir pleinement rempli son obligation positive. Il considère que l</w:t>
      </w:r>
      <w:r w:rsidR="00D07C7C" w:rsidRPr="00D07C7C">
        <w:rPr>
          <w:lang w:val="fr-FR"/>
        </w:rPr>
        <w:t>’</w:t>
      </w:r>
      <w:r w:rsidRPr="00D07C7C">
        <w:rPr>
          <w:lang w:val="fr-FR"/>
        </w:rPr>
        <w:t>enquête officielle menée par les autorités judiciaires a été approfondie, indépendante et impartiale.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106</w:t>
      </w:r>
      <w:r w:rsidRPr="00D07C7C">
        <w:rPr>
          <w:lang w:val="fr-FR"/>
        </w:rPr>
        <w:fldChar w:fldCharType="end"/>
      </w:r>
      <w:r w:rsidRPr="00D07C7C">
        <w:rPr>
          <w:lang w:val="fr-FR"/>
        </w:rPr>
        <w:t>.  Il estime que ladite enquête a permis d</w:t>
      </w:r>
      <w:r w:rsidR="00D07C7C" w:rsidRPr="00D07C7C">
        <w:rPr>
          <w:lang w:val="fr-FR"/>
        </w:rPr>
        <w:t>’</w:t>
      </w:r>
      <w:r w:rsidRPr="00D07C7C">
        <w:rPr>
          <w:lang w:val="fr-FR"/>
        </w:rPr>
        <w:t>identifier et de condamner les responsables des actes dénoncés. Il argue que l</w:t>
      </w:r>
      <w:r w:rsidR="00D07C7C" w:rsidRPr="00D07C7C">
        <w:rPr>
          <w:lang w:val="fr-FR"/>
        </w:rPr>
        <w:t>’</w:t>
      </w:r>
      <w:r w:rsidRPr="00D07C7C">
        <w:rPr>
          <w:lang w:val="fr-FR"/>
        </w:rPr>
        <w:t>absence, en tant que tel, d</w:t>
      </w:r>
      <w:r w:rsidR="00D07C7C" w:rsidRPr="00D07C7C">
        <w:rPr>
          <w:lang w:val="fr-FR"/>
        </w:rPr>
        <w:t>’</w:t>
      </w:r>
      <w:r w:rsidRPr="00D07C7C">
        <w:rPr>
          <w:lang w:val="fr-FR"/>
        </w:rPr>
        <w:t>un délit de torture n</w:t>
      </w:r>
      <w:r w:rsidR="00D07C7C" w:rsidRPr="00D07C7C">
        <w:rPr>
          <w:lang w:val="fr-FR"/>
        </w:rPr>
        <w:t>’</w:t>
      </w:r>
      <w:r w:rsidRPr="00D07C7C">
        <w:rPr>
          <w:lang w:val="fr-FR"/>
        </w:rPr>
        <w:t>a pas empêché les juges de poursuivre et de punir efficacement les responsables en appliquant les dispositions législatives en vigueur.</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107</w:t>
      </w:r>
      <w:r w:rsidRPr="00D07C7C">
        <w:rPr>
          <w:lang w:val="fr-FR"/>
        </w:rPr>
        <w:fldChar w:fldCharType="end"/>
      </w:r>
      <w:r w:rsidRPr="00D07C7C">
        <w:rPr>
          <w:lang w:val="fr-FR"/>
        </w:rPr>
        <w:t>.  Il maintient également qu</w:t>
      </w:r>
      <w:r w:rsidR="00D07C7C" w:rsidRPr="00D07C7C">
        <w:rPr>
          <w:lang w:val="fr-FR"/>
        </w:rPr>
        <w:t>’</w:t>
      </w:r>
      <w:r w:rsidRPr="00D07C7C">
        <w:rPr>
          <w:lang w:val="fr-FR"/>
        </w:rPr>
        <w:t>il n</w:t>
      </w:r>
      <w:r w:rsidR="00D07C7C" w:rsidRPr="00D07C7C">
        <w:rPr>
          <w:lang w:val="fr-FR"/>
        </w:rPr>
        <w:t>’</w:t>
      </w:r>
      <w:r w:rsidRPr="00D07C7C">
        <w:rPr>
          <w:lang w:val="fr-FR"/>
        </w:rPr>
        <w:t>est pas possible de donner une définition univoque du terme « torture » et que, en tout état de cause, le code pénal italien contient plusieurs normes punissant les délits contre la personne, y compris les actes les plus graves.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108</w:t>
      </w:r>
      <w:r w:rsidRPr="00D07C7C">
        <w:rPr>
          <w:lang w:val="fr-FR"/>
        </w:rPr>
        <w:fldChar w:fldCharType="end"/>
      </w:r>
      <w:r w:rsidRPr="00D07C7C">
        <w:rPr>
          <w:lang w:val="fr-FR"/>
        </w:rPr>
        <w:t>.  En outre, il indique qu</w:t>
      </w:r>
      <w:r w:rsidR="00D07C7C" w:rsidRPr="00D07C7C">
        <w:rPr>
          <w:lang w:val="fr-FR"/>
        </w:rPr>
        <w:t>’</w:t>
      </w:r>
      <w:r w:rsidRPr="00D07C7C">
        <w:rPr>
          <w:lang w:val="fr-FR"/>
        </w:rPr>
        <w:t>une proposition de loi visant à introduire le délit de torture dans l</w:t>
      </w:r>
      <w:r w:rsidR="00D07C7C" w:rsidRPr="00D07C7C">
        <w:rPr>
          <w:lang w:val="fr-FR"/>
        </w:rPr>
        <w:t>’</w:t>
      </w:r>
      <w:r w:rsidRPr="00D07C7C">
        <w:rPr>
          <w:lang w:val="fr-FR"/>
        </w:rPr>
        <w:t>ordre juridique interne est actuellement en phase de discussion devant le Sénat de la République, après avoir été modifiée par la Chambre des députés.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109</w:t>
      </w:r>
      <w:r w:rsidRPr="00D07C7C">
        <w:rPr>
          <w:lang w:val="fr-FR"/>
        </w:rPr>
        <w:fldChar w:fldCharType="end"/>
      </w:r>
      <w:r w:rsidRPr="00D07C7C">
        <w:rPr>
          <w:lang w:val="fr-FR"/>
        </w:rPr>
        <w:t>.  Quant aux mesures prises à l</w:t>
      </w:r>
      <w:r w:rsidR="00D07C7C" w:rsidRPr="00D07C7C">
        <w:rPr>
          <w:lang w:val="fr-FR"/>
        </w:rPr>
        <w:t>’</w:t>
      </w:r>
      <w:r w:rsidRPr="00D07C7C">
        <w:rPr>
          <w:lang w:val="fr-FR"/>
        </w:rPr>
        <w:t>encontre des fonctionnaires, le Gouvernement informe la Cour, sans plus de précisions, que tout le personnel impliqué a été soumis à des procédures disciplinaires conduisant à une suspension de service pour des périodes déterminées, combinées avec des sanctions pécuniaires proportionnées au salaire individuel. Il ajoute que, dans certains cas, les agents de police concernés ont été sanctionnés par la cessation de leurs fonctions ou par le blocage de leur progression de carrière pour ancienneté.</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110</w:t>
      </w:r>
      <w:r w:rsidRPr="00D07C7C">
        <w:rPr>
          <w:lang w:val="fr-FR"/>
        </w:rPr>
        <w:fldChar w:fldCharType="end"/>
      </w:r>
      <w:r w:rsidRPr="00D07C7C">
        <w:rPr>
          <w:lang w:val="fr-FR"/>
        </w:rPr>
        <w:t>.  Enfin, le Gouvernement, sans donner plus de détails, attire l</w:t>
      </w:r>
      <w:r w:rsidR="00D07C7C" w:rsidRPr="00D07C7C">
        <w:rPr>
          <w:lang w:val="fr-FR"/>
        </w:rPr>
        <w:t>’</w:t>
      </w:r>
      <w:r w:rsidRPr="00D07C7C">
        <w:rPr>
          <w:lang w:val="fr-FR"/>
        </w:rPr>
        <w:t xml:space="preserve">attention de la Cour sur les indemnités provisionnelles reçues par les requérants, dont le montant varierait entre 10 000 et 30 000 EUR. Il ajoute que, dans certains cas, les tribunaux nationaux auraient reconnu aux victimes des indemnités </w:t>
      </w:r>
      <w:r w:rsidRPr="00D07C7C">
        <w:rPr>
          <w:lang w:val="fr-FR"/>
        </w:rPr>
        <w:lastRenderedPageBreak/>
        <w:t>provisionnelles s</w:t>
      </w:r>
      <w:r w:rsidR="00D07C7C" w:rsidRPr="00D07C7C">
        <w:rPr>
          <w:lang w:val="fr-FR"/>
        </w:rPr>
        <w:t>’</w:t>
      </w:r>
      <w:r w:rsidRPr="00D07C7C">
        <w:rPr>
          <w:lang w:val="fr-FR"/>
        </w:rPr>
        <w:t>élevant à 210 000 EUR, sans pour autant indiquer si les requérants ont été concernés.</w:t>
      </w:r>
    </w:p>
    <w:p w:rsidR="00FE73C2" w:rsidRPr="00D07C7C" w:rsidRDefault="00FE73C2" w:rsidP="00D07C7C">
      <w:pPr>
        <w:pStyle w:val="ECHRHeading4"/>
        <w:rPr>
          <w:lang w:val="fr-FR"/>
        </w:rPr>
      </w:pPr>
      <w:r w:rsidRPr="00D07C7C">
        <w:rPr>
          <w:lang w:val="fr-FR"/>
        </w:rPr>
        <w:t>b)  Appréciation de la Cour</w:t>
      </w:r>
    </w:p>
    <w:p w:rsidR="00FE73C2" w:rsidRPr="00D07C7C" w:rsidRDefault="00FE73C2" w:rsidP="00D07C7C">
      <w:pPr>
        <w:pStyle w:val="ECHRHeading5"/>
        <w:rPr>
          <w:lang w:val="fr-FR"/>
        </w:rPr>
      </w:pPr>
      <w:r w:rsidRPr="00D07C7C">
        <w:rPr>
          <w:rFonts w:cstheme="majorHAnsi"/>
          <w:lang w:val="fr-FR"/>
        </w:rPr>
        <w:t>i</w:t>
      </w:r>
      <w:r w:rsidRPr="00D07C7C">
        <w:rPr>
          <w:lang w:val="fr-FR"/>
        </w:rPr>
        <w:t>.  Sur le volet substantiel de l</w:t>
      </w:r>
      <w:r w:rsidR="00D07C7C" w:rsidRPr="00D07C7C">
        <w:rPr>
          <w:lang w:val="fr-FR"/>
        </w:rPr>
        <w:t>’</w:t>
      </w:r>
      <w:r w:rsidRPr="00D07C7C">
        <w:rPr>
          <w:lang w:val="fr-FR"/>
        </w:rPr>
        <w:t>article 3 de la Convention</w:t>
      </w:r>
    </w:p>
    <w:p w:rsidR="00FE73C2" w:rsidRPr="00D07C7C" w:rsidRDefault="00FE73C2" w:rsidP="00D07C7C">
      <w:pPr>
        <w:pStyle w:val="ECHRHeading6"/>
        <w:rPr>
          <w:lang w:val="fr-FR"/>
        </w:rPr>
      </w:pPr>
      <w:r w:rsidRPr="00D07C7C">
        <w:rPr>
          <w:rFonts w:cstheme="majorHAnsi"/>
          <w:lang w:val="fr-FR"/>
        </w:rPr>
        <w:t>α</w:t>
      </w:r>
      <w:r w:rsidR="00D07C7C" w:rsidRPr="00D07C7C">
        <w:rPr>
          <w:lang w:val="fr-FR"/>
        </w:rPr>
        <w:t>)</w:t>
      </w:r>
      <w:r w:rsidRPr="00D07C7C">
        <w:rPr>
          <w:lang w:val="fr-FR"/>
        </w:rPr>
        <w:t>  Principes généraux</w:t>
      </w:r>
    </w:p>
    <w:p w:rsidR="00FE73C2" w:rsidRPr="00D07C7C" w:rsidRDefault="00FE73C2" w:rsidP="00D07C7C">
      <w:pPr>
        <w:pStyle w:val="ECHRPara"/>
        <w:rPr>
          <w:i/>
          <w:szCs w:val="24"/>
          <w:lang w:val="de-DE"/>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111</w:t>
      </w:r>
      <w:r w:rsidRPr="00D07C7C">
        <w:rPr>
          <w:lang w:val="fr-FR"/>
        </w:rPr>
        <w:fldChar w:fldCharType="end"/>
      </w:r>
      <w:r w:rsidRPr="00D07C7C">
        <w:rPr>
          <w:lang w:val="fr-FR"/>
        </w:rPr>
        <w:t>.  L</w:t>
      </w:r>
      <w:r w:rsidR="00D07C7C" w:rsidRPr="00D07C7C">
        <w:rPr>
          <w:lang w:val="fr-FR"/>
        </w:rPr>
        <w:t>’</w:t>
      </w:r>
      <w:r w:rsidRPr="00D07C7C">
        <w:rPr>
          <w:lang w:val="fr-FR"/>
        </w:rPr>
        <w:t>article 3 de la Convention consacre l</w:t>
      </w:r>
      <w:r w:rsidR="00D07C7C" w:rsidRPr="00D07C7C">
        <w:rPr>
          <w:lang w:val="fr-FR"/>
        </w:rPr>
        <w:t>’</w:t>
      </w:r>
      <w:r w:rsidRPr="00D07C7C">
        <w:rPr>
          <w:lang w:val="fr-FR"/>
        </w:rPr>
        <w:t xml:space="preserve">une des valeurs fondamentales des sociétés démocratiques (voir, notamment, </w:t>
      </w:r>
      <w:r w:rsidRPr="00D07C7C">
        <w:rPr>
          <w:i/>
          <w:lang w:val="fr-FR"/>
        </w:rPr>
        <w:t xml:space="preserve">Selmouni c. France </w:t>
      </w:r>
      <w:r w:rsidRPr="00D07C7C">
        <w:rPr>
          <w:lang w:val="fr-FR"/>
        </w:rPr>
        <w:t>[GC], n</w:t>
      </w:r>
      <w:r w:rsidRPr="00D07C7C">
        <w:rPr>
          <w:vertAlign w:val="superscript"/>
          <w:lang w:val="fr-FR"/>
        </w:rPr>
        <w:t>o</w:t>
      </w:r>
      <w:r w:rsidRPr="00D07C7C">
        <w:rPr>
          <w:lang w:val="fr-FR"/>
        </w:rPr>
        <w:t> 25803/94, § 95, CEDH 1999</w:t>
      </w:r>
      <w:r w:rsidRPr="00D07C7C">
        <w:rPr>
          <w:lang w:val="fr-FR"/>
        </w:rPr>
        <w:noBreakHyphen/>
        <w:t>V,</w:t>
      </w:r>
      <w:r w:rsidRPr="00D07C7C">
        <w:rPr>
          <w:i/>
          <w:lang w:val="fr-FR"/>
        </w:rPr>
        <w:t xml:space="preserve"> Labita c. Italie</w:t>
      </w:r>
      <w:r w:rsidRPr="00D07C7C">
        <w:rPr>
          <w:lang w:val="fr-FR"/>
        </w:rPr>
        <w:t xml:space="preserve"> [GC], n</w:t>
      </w:r>
      <w:r w:rsidRPr="00D07C7C">
        <w:rPr>
          <w:vertAlign w:val="superscript"/>
          <w:lang w:val="fr-FR"/>
        </w:rPr>
        <w:t>o </w:t>
      </w:r>
      <w:r w:rsidRPr="00D07C7C">
        <w:rPr>
          <w:lang w:val="fr-FR"/>
        </w:rPr>
        <w:t>26772/95, § 119, CEDH 2000</w:t>
      </w:r>
      <w:r w:rsidRPr="00D07C7C">
        <w:rPr>
          <w:lang w:val="fr-FR"/>
        </w:rPr>
        <w:noBreakHyphen/>
        <w:t xml:space="preserve">IV, </w:t>
      </w:r>
      <w:r w:rsidRPr="00D07C7C">
        <w:rPr>
          <w:i/>
          <w:lang w:val="fr-FR"/>
        </w:rPr>
        <w:t>Gäfgen c. Allemagne</w:t>
      </w:r>
      <w:r w:rsidRPr="00D07C7C">
        <w:rPr>
          <w:lang w:val="fr-FR"/>
        </w:rPr>
        <w:t xml:space="preserve"> [GC], n</w:t>
      </w:r>
      <w:r w:rsidRPr="00D07C7C">
        <w:rPr>
          <w:vertAlign w:val="superscript"/>
          <w:lang w:val="fr-FR"/>
        </w:rPr>
        <w:t>o </w:t>
      </w:r>
      <w:r w:rsidRPr="00D07C7C">
        <w:rPr>
          <w:lang w:val="fr-FR"/>
        </w:rPr>
        <w:t xml:space="preserve">22978/05, § 87, CEDH 2010, </w:t>
      </w:r>
      <w:r w:rsidRPr="00D07C7C">
        <w:rPr>
          <w:i/>
          <w:lang w:val="fr-FR"/>
        </w:rPr>
        <w:t>El-Masri c. l</w:t>
      </w:r>
      <w:r w:rsidR="00D07C7C" w:rsidRPr="00D07C7C">
        <w:rPr>
          <w:i/>
          <w:lang w:val="fr-FR"/>
        </w:rPr>
        <w:t>’</w:t>
      </w:r>
      <w:r w:rsidRPr="00D07C7C">
        <w:rPr>
          <w:i/>
          <w:lang w:val="fr-FR"/>
        </w:rPr>
        <w:t xml:space="preserve">ex-République yougoslave de Macédoine </w:t>
      </w:r>
      <w:r w:rsidRPr="00D07C7C">
        <w:rPr>
          <w:lang w:val="fr-FR"/>
        </w:rPr>
        <w:t>[GC], n</w:t>
      </w:r>
      <w:r w:rsidRPr="00D07C7C">
        <w:rPr>
          <w:vertAlign w:val="superscript"/>
          <w:lang w:val="fr-FR"/>
        </w:rPr>
        <w:t>o</w:t>
      </w:r>
      <w:r w:rsidRPr="00D07C7C">
        <w:rPr>
          <w:lang w:val="fr-FR"/>
        </w:rPr>
        <w:t> 39630/09, § 195,</w:t>
      </w:r>
      <w:r w:rsidRPr="00D07C7C">
        <w:rPr>
          <w:snapToGrid w:val="0"/>
          <w:lang w:val="fr-FR"/>
        </w:rPr>
        <w:t xml:space="preserve"> CEDH 2012, et </w:t>
      </w:r>
      <w:r w:rsidRPr="00D07C7C">
        <w:rPr>
          <w:i/>
          <w:snapToGrid w:val="0"/>
          <w:lang w:val="fr-FR"/>
        </w:rPr>
        <w:t xml:space="preserve">Mocanu et autres c. Roumanie </w:t>
      </w:r>
      <w:r w:rsidRPr="00D07C7C">
        <w:rPr>
          <w:snapToGrid w:val="0"/>
          <w:lang w:val="fr-FR"/>
        </w:rPr>
        <w:t>[GC], n</w:t>
      </w:r>
      <w:r w:rsidRPr="00D07C7C">
        <w:rPr>
          <w:snapToGrid w:val="0"/>
          <w:vertAlign w:val="superscript"/>
          <w:lang w:val="fr-FR"/>
        </w:rPr>
        <w:t>os</w:t>
      </w:r>
      <w:r w:rsidRPr="00D07C7C">
        <w:rPr>
          <w:snapToGrid w:val="0"/>
          <w:lang w:val="fr-FR"/>
        </w:rPr>
        <w:t> 10865/09, 45886/07 et 32431/08, § 315, CEDH (extraits)</w:t>
      </w:r>
      <w:r w:rsidRPr="00D07C7C">
        <w:rPr>
          <w:lang w:val="fr-FR"/>
        </w:rPr>
        <w:t>) et un droit absolu et inaliénable étroitement lié au respect de la dignité humaine (</w:t>
      </w:r>
      <w:r w:rsidRPr="00D07C7C">
        <w:rPr>
          <w:i/>
          <w:lang w:val="de-DE"/>
        </w:rPr>
        <w:t>Aleksandr Novoselov</w:t>
      </w:r>
      <w:r w:rsidRPr="00D07C7C">
        <w:rPr>
          <w:lang w:val="de-DE"/>
        </w:rPr>
        <w:t xml:space="preserve"> </w:t>
      </w:r>
      <w:r w:rsidRPr="00D07C7C">
        <w:rPr>
          <w:i/>
          <w:lang w:val="de-DE"/>
        </w:rPr>
        <w:t>c. Russie</w:t>
      </w:r>
      <w:r w:rsidRPr="00D07C7C">
        <w:rPr>
          <w:snapToGrid w:val="0"/>
          <w:lang w:val="de-DE"/>
        </w:rPr>
        <w:t xml:space="preserve">, </w:t>
      </w:r>
      <w:r w:rsidRPr="00D07C7C">
        <w:rPr>
          <w:lang w:val="de-DE"/>
        </w:rPr>
        <w:t>n</w:t>
      </w:r>
      <w:r w:rsidRPr="00D07C7C">
        <w:rPr>
          <w:vertAlign w:val="superscript"/>
          <w:lang w:val="de-DE"/>
        </w:rPr>
        <w:t>o</w:t>
      </w:r>
      <w:r w:rsidRPr="00D07C7C">
        <w:rPr>
          <w:lang w:val="de-DE"/>
        </w:rPr>
        <w:t> 33954/05</w:t>
      </w:r>
      <w:r w:rsidRPr="00D07C7C">
        <w:rPr>
          <w:snapToGrid w:val="0"/>
          <w:lang w:val="de-DE"/>
        </w:rPr>
        <w:t xml:space="preserve">, § 54, 28 </w:t>
      </w:r>
      <w:r w:rsidRPr="00D07C7C">
        <w:rPr>
          <w:lang w:val="de-DE"/>
        </w:rPr>
        <w:t>novembre</w:t>
      </w:r>
      <w:r w:rsidRPr="00D07C7C">
        <w:rPr>
          <w:snapToGrid w:val="0"/>
          <w:lang w:val="de-DE"/>
        </w:rPr>
        <w:t xml:space="preserve"> 2013,</w:t>
      </w:r>
      <w:r w:rsidRPr="00D07C7C">
        <w:rPr>
          <w:lang w:val="fr-FR"/>
        </w:rPr>
        <w:t xml:space="preserve"> </w:t>
      </w:r>
      <w:r w:rsidRPr="00D07C7C">
        <w:rPr>
          <w:i/>
          <w:lang w:val="fr-FR"/>
        </w:rPr>
        <w:t xml:space="preserve">Bouyid c. Belgique </w:t>
      </w:r>
      <w:r w:rsidRPr="00D07C7C">
        <w:rPr>
          <w:lang w:val="fr-FR"/>
        </w:rPr>
        <w:t>[GC], n</w:t>
      </w:r>
      <w:r w:rsidRPr="00D07C7C">
        <w:rPr>
          <w:vertAlign w:val="superscript"/>
          <w:lang w:val="fr-FR"/>
        </w:rPr>
        <w:t>o</w:t>
      </w:r>
      <w:r w:rsidRPr="00D07C7C">
        <w:rPr>
          <w:lang w:val="fr-FR"/>
        </w:rPr>
        <w:t> 23380/09, § 81, CEDH 2015), qui ne prévoit pas de restrictions et, d</w:t>
      </w:r>
      <w:r w:rsidR="00D07C7C" w:rsidRPr="00D07C7C">
        <w:rPr>
          <w:lang w:val="fr-FR"/>
        </w:rPr>
        <w:t>’</w:t>
      </w:r>
      <w:r w:rsidRPr="00D07C7C">
        <w:rPr>
          <w:lang w:val="fr-FR"/>
        </w:rPr>
        <w:t>après l</w:t>
      </w:r>
      <w:r w:rsidR="00D07C7C" w:rsidRPr="00D07C7C">
        <w:rPr>
          <w:lang w:val="fr-FR"/>
        </w:rPr>
        <w:t>’</w:t>
      </w:r>
      <w:r w:rsidRPr="00D07C7C">
        <w:rPr>
          <w:lang w:val="fr-FR"/>
        </w:rPr>
        <w:t>article 15 § 2, ne souffre nulle dérogation (</w:t>
      </w:r>
      <w:r w:rsidRPr="00D07C7C">
        <w:rPr>
          <w:i/>
          <w:lang w:val="fr-FR"/>
        </w:rPr>
        <w:t>Gäfgen</w:t>
      </w:r>
      <w:r w:rsidRPr="00D07C7C">
        <w:rPr>
          <w:lang w:val="fr-FR"/>
        </w:rPr>
        <w:t>, précité, § 87).</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112</w:t>
      </w:r>
      <w:r w:rsidRPr="00D07C7C">
        <w:rPr>
          <w:lang w:val="fr-FR"/>
        </w:rPr>
        <w:fldChar w:fldCharType="end"/>
      </w:r>
      <w:r w:rsidRPr="00D07C7C">
        <w:rPr>
          <w:lang w:val="fr-FR"/>
        </w:rPr>
        <w:t>.  La Cour renvoie aux principes généraux relatifs à la qualification juridique de mauvais traitement (</w:t>
      </w:r>
      <w:r w:rsidRPr="00D07C7C">
        <w:rPr>
          <w:i/>
          <w:lang w:val="fr-FR"/>
        </w:rPr>
        <w:t>Irlande c. Royaume-Uni</w:t>
      </w:r>
      <w:r w:rsidRPr="00D07C7C">
        <w:rPr>
          <w:lang w:val="fr-FR"/>
        </w:rPr>
        <w:t>, 18 janvier 1978, § 162, série A n</w:t>
      </w:r>
      <w:r w:rsidRPr="00D07C7C">
        <w:rPr>
          <w:vertAlign w:val="superscript"/>
          <w:lang w:val="fr-FR"/>
        </w:rPr>
        <w:t>o</w:t>
      </w:r>
      <w:r w:rsidRPr="00D07C7C">
        <w:rPr>
          <w:lang w:val="fr-FR"/>
        </w:rPr>
        <w:t xml:space="preserve"> 25 et </w:t>
      </w:r>
      <w:r w:rsidRPr="00D07C7C">
        <w:rPr>
          <w:i/>
          <w:lang w:val="fr-FR"/>
        </w:rPr>
        <w:t>Jalloh c. Allemagne</w:t>
      </w:r>
      <w:r w:rsidRPr="00D07C7C">
        <w:rPr>
          <w:lang w:val="fr-FR"/>
        </w:rPr>
        <w:t xml:space="preserve"> [GC], n</w:t>
      </w:r>
      <w:r w:rsidRPr="00D07C7C">
        <w:rPr>
          <w:vertAlign w:val="superscript"/>
          <w:lang w:val="fr-FR"/>
        </w:rPr>
        <w:t>o</w:t>
      </w:r>
      <w:r w:rsidRPr="00D07C7C">
        <w:rPr>
          <w:lang w:val="fr-FR"/>
        </w:rPr>
        <w:t> 54810/00, § 67, CEDH 2006</w:t>
      </w:r>
      <w:r w:rsidRPr="00D07C7C">
        <w:rPr>
          <w:lang w:val="fr-FR"/>
        </w:rPr>
        <w:noBreakHyphen/>
        <w:t>IX ; pour les facteurs à considérer, voir, parmi beaucoup d</w:t>
      </w:r>
      <w:r w:rsidR="00D07C7C" w:rsidRPr="00D07C7C">
        <w:rPr>
          <w:lang w:val="fr-FR"/>
        </w:rPr>
        <w:t>’</w:t>
      </w:r>
      <w:r w:rsidRPr="00D07C7C">
        <w:rPr>
          <w:lang w:val="fr-FR"/>
        </w:rPr>
        <w:t xml:space="preserve">autres, </w:t>
      </w:r>
      <w:r w:rsidRPr="00D07C7C">
        <w:rPr>
          <w:i/>
          <w:lang w:val="fr-FR"/>
        </w:rPr>
        <w:t>Aksoy c. Turquie</w:t>
      </w:r>
      <w:r w:rsidRPr="00D07C7C">
        <w:rPr>
          <w:lang w:val="fr-FR"/>
        </w:rPr>
        <w:t xml:space="preserve">, 18 décembre 1996, § 64, </w:t>
      </w:r>
      <w:r w:rsidRPr="00D07C7C">
        <w:rPr>
          <w:i/>
          <w:lang w:val="fr-FR"/>
        </w:rPr>
        <w:t>Recueil</w:t>
      </w:r>
      <w:r w:rsidRPr="00D07C7C">
        <w:rPr>
          <w:lang w:val="fr-FR"/>
        </w:rPr>
        <w:t xml:space="preserve"> 1996</w:t>
      </w:r>
      <w:r w:rsidRPr="00D07C7C">
        <w:rPr>
          <w:lang w:val="fr-FR"/>
        </w:rPr>
        <w:noBreakHyphen/>
        <w:t xml:space="preserve">VI, </w:t>
      </w:r>
      <w:r w:rsidRPr="00D07C7C">
        <w:rPr>
          <w:i/>
          <w:lang w:val="fr-FR"/>
        </w:rPr>
        <w:t>Egmez c. Chypre</w:t>
      </w:r>
      <w:r w:rsidRPr="00D07C7C">
        <w:rPr>
          <w:lang w:val="fr-FR"/>
        </w:rPr>
        <w:t>, n</w:t>
      </w:r>
      <w:r w:rsidRPr="00D07C7C">
        <w:rPr>
          <w:vertAlign w:val="superscript"/>
          <w:lang w:val="fr-FR"/>
        </w:rPr>
        <w:t>o</w:t>
      </w:r>
      <w:r w:rsidRPr="00D07C7C">
        <w:rPr>
          <w:lang w:val="fr-FR"/>
        </w:rPr>
        <w:t> 30873/96, § 78, CEDH 2000</w:t>
      </w:r>
      <w:r w:rsidRPr="00D07C7C">
        <w:rPr>
          <w:lang w:val="fr-FR"/>
        </w:rPr>
        <w:noBreakHyphen/>
        <w:t xml:space="preserve">XII, </w:t>
      </w:r>
      <w:r w:rsidRPr="00D07C7C">
        <w:rPr>
          <w:i/>
          <w:lang w:val="fr-FR"/>
        </w:rPr>
        <w:t>Krastanov c. Bulgarie</w:t>
      </w:r>
      <w:r w:rsidRPr="00D07C7C">
        <w:rPr>
          <w:lang w:val="fr-FR"/>
        </w:rPr>
        <w:t>, n</w:t>
      </w:r>
      <w:r w:rsidRPr="00D07C7C">
        <w:rPr>
          <w:vertAlign w:val="superscript"/>
          <w:lang w:val="fr-FR"/>
        </w:rPr>
        <w:t>o</w:t>
      </w:r>
      <w:r w:rsidRPr="00D07C7C">
        <w:rPr>
          <w:lang w:val="fr-FR"/>
        </w:rPr>
        <w:t xml:space="preserve"> 50222/99, § 53, 30 septembre 2004, </w:t>
      </w:r>
      <w:r w:rsidRPr="00D07C7C">
        <w:rPr>
          <w:i/>
          <w:lang w:val="fr-FR"/>
        </w:rPr>
        <w:t>El Masri</w:t>
      </w:r>
      <w:r w:rsidRPr="00D07C7C">
        <w:rPr>
          <w:lang w:val="fr-FR"/>
        </w:rPr>
        <w:t xml:space="preserve">, précité, § 196, et </w:t>
      </w:r>
      <w:r w:rsidRPr="00D07C7C">
        <w:rPr>
          <w:i/>
          <w:snapToGrid w:val="0"/>
          <w:lang w:val="fr-FR"/>
        </w:rPr>
        <w:t>Al Nashiri c. Pologne</w:t>
      </w:r>
      <w:r w:rsidRPr="00D07C7C">
        <w:rPr>
          <w:snapToGrid w:val="0"/>
          <w:lang w:val="fr-FR"/>
        </w:rPr>
        <w:t>, n</w:t>
      </w:r>
      <w:r w:rsidRPr="00D07C7C">
        <w:rPr>
          <w:snapToGrid w:val="0"/>
          <w:vertAlign w:val="superscript"/>
          <w:lang w:val="fr-FR"/>
        </w:rPr>
        <w:t>o</w:t>
      </w:r>
      <w:r w:rsidRPr="00D07C7C">
        <w:rPr>
          <w:snapToGrid w:val="0"/>
          <w:lang w:val="fr-FR"/>
        </w:rPr>
        <w:t> 28761/11, § 508, 24 juillet 2014 ; pour le contexte,</w:t>
      </w:r>
      <w:r w:rsidRPr="00D07C7C">
        <w:rPr>
          <w:lang w:val="fr-FR"/>
        </w:rPr>
        <w:t xml:space="preserve"> telle une atmosphère de vive tension et à forte charge émotionnelle, voir, entre autres, </w:t>
      </w:r>
      <w:r w:rsidRPr="00D07C7C">
        <w:rPr>
          <w:i/>
          <w:lang w:val="fr-FR"/>
        </w:rPr>
        <w:t>Selmouni</w:t>
      </w:r>
      <w:r w:rsidRPr="00D07C7C">
        <w:rPr>
          <w:lang w:val="fr-FR"/>
        </w:rPr>
        <w:t xml:space="preserve">, précité, § 104, et </w:t>
      </w:r>
      <w:r w:rsidRPr="00D07C7C">
        <w:rPr>
          <w:i/>
          <w:lang w:val="fr-FR"/>
        </w:rPr>
        <w:t>Egmez</w:t>
      </w:r>
      <w:r w:rsidRPr="00D07C7C">
        <w:rPr>
          <w:lang w:val="fr-FR"/>
        </w:rPr>
        <w:t>,</w:t>
      </w:r>
      <w:r w:rsidRPr="00D07C7C">
        <w:rPr>
          <w:i/>
          <w:lang w:val="fr-FR"/>
        </w:rPr>
        <w:t xml:space="preserve"> </w:t>
      </w:r>
      <w:r w:rsidRPr="00D07C7C">
        <w:rPr>
          <w:lang w:val="fr-FR"/>
        </w:rPr>
        <w:t>précité, § 78 ; pour l</w:t>
      </w:r>
      <w:r w:rsidR="00D07C7C" w:rsidRPr="00D07C7C">
        <w:rPr>
          <w:lang w:val="fr-FR"/>
        </w:rPr>
        <w:t>’</w:t>
      </w:r>
      <w:r w:rsidRPr="00D07C7C">
        <w:rPr>
          <w:lang w:val="fr-FR"/>
        </w:rPr>
        <w:t>usage de la force physique de la part des forces de l</w:t>
      </w:r>
      <w:r w:rsidR="00D07C7C" w:rsidRPr="00D07C7C">
        <w:rPr>
          <w:lang w:val="fr-FR"/>
        </w:rPr>
        <w:t>’</w:t>
      </w:r>
      <w:r w:rsidRPr="00D07C7C">
        <w:rPr>
          <w:lang w:val="fr-FR"/>
        </w:rPr>
        <w:t>ordre, voir, parmi beaucoup d</w:t>
      </w:r>
      <w:r w:rsidR="00D07C7C" w:rsidRPr="00D07C7C">
        <w:rPr>
          <w:lang w:val="fr-FR"/>
        </w:rPr>
        <w:t>’</w:t>
      </w:r>
      <w:r w:rsidRPr="00D07C7C">
        <w:rPr>
          <w:lang w:val="fr-FR"/>
        </w:rPr>
        <w:t xml:space="preserve">autres, </w:t>
      </w:r>
      <w:r w:rsidRPr="00D07C7C">
        <w:rPr>
          <w:i/>
          <w:lang w:val="fr-FR"/>
        </w:rPr>
        <w:t>Ribitsch c. Autriche</w:t>
      </w:r>
      <w:r w:rsidR="00D07C7C" w:rsidRPr="00D07C7C">
        <w:rPr>
          <w:lang w:val="fr-FR"/>
        </w:rPr>
        <w:t>, 4 </w:t>
      </w:r>
      <w:r w:rsidRPr="00D07C7C">
        <w:rPr>
          <w:lang w:val="fr-FR"/>
        </w:rPr>
        <w:t>décembre 1995, § 38, série A n</w:t>
      </w:r>
      <w:r w:rsidRPr="00D07C7C">
        <w:rPr>
          <w:vertAlign w:val="superscript"/>
          <w:lang w:val="fr-FR"/>
        </w:rPr>
        <w:t>o</w:t>
      </w:r>
      <w:r w:rsidRPr="00D07C7C">
        <w:rPr>
          <w:lang w:val="fr-FR"/>
        </w:rPr>
        <w:t xml:space="preserve"> 336, </w:t>
      </w:r>
      <w:r w:rsidRPr="00D07C7C">
        <w:rPr>
          <w:i/>
          <w:lang w:val="fr-FR"/>
        </w:rPr>
        <w:t>Mete et autres c. Turquie</w:t>
      </w:r>
      <w:r w:rsidRPr="00D07C7C">
        <w:rPr>
          <w:lang w:val="fr-FR"/>
        </w:rPr>
        <w:t>, n</w:t>
      </w:r>
      <w:r w:rsidRPr="00D07C7C">
        <w:rPr>
          <w:vertAlign w:val="superscript"/>
          <w:lang w:val="fr-FR"/>
        </w:rPr>
        <w:t>o</w:t>
      </w:r>
      <w:r w:rsidRPr="00D07C7C">
        <w:rPr>
          <w:lang w:val="fr-FR"/>
        </w:rPr>
        <w:t> 294/08</w:t>
      </w:r>
      <w:r w:rsidRPr="00D07C7C">
        <w:rPr>
          <w:snapToGrid w:val="0"/>
          <w:szCs w:val="24"/>
          <w:lang w:val="fr-FR"/>
        </w:rPr>
        <w:t xml:space="preserve">, § 106, 4 </w:t>
      </w:r>
      <w:r w:rsidRPr="00D07C7C">
        <w:rPr>
          <w:szCs w:val="24"/>
          <w:lang w:val="fr-FR"/>
        </w:rPr>
        <w:t>octobre</w:t>
      </w:r>
      <w:r w:rsidRPr="00D07C7C">
        <w:rPr>
          <w:snapToGrid w:val="0"/>
          <w:szCs w:val="24"/>
          <w:lang w:val="fr-FR"/>
        </w:rPr>
        <w:t xml:space="preserve"> 2011, </w:t>
      </w:r>
      <w:r w:rsidRPr="00D07C7C">
        <w:rPr>
          <w:i/>
          <w:lang w:val="fr-FR"/>
        </w:rPr>
        <w:t>El-Masri</w:t>
      </w:r>
      <w:r w:rsidRPr="00D07C7C">
        <w:rPr>
          <w:lang w:val="fr-FR"/>
        </w:rPr>
        <w:t>,</w:t>
      </w:r>
      <w:r w:rsidRPr="00D07C7C">
        <w:rPr>
          <w:i/>
          <w:lang w:val="fr-FR"/>
        </w:rPr>
        <w:t xml:space="preserve"> </w:t>
      </w:r>
      <w:r w:rsidRPr="00D07C7C">
        <w:rPr>
          <w:lang w:val="fr-FR"/>
        </w:rPr>
        <w:t>précité, § 207,</w:t>
      </w:r>
      <w:r w:rsidRPr="00D07C7C">
        <w:rPr>
          <w:snapToGrid w:val="0"/>
          <w:lang w:val="fr-FR"/>
        </w:rPr>
        <w:t xml:space="preserve"> et </w:t>
      </w:r>
      <w:r w:rsidRPr="00D07C7C">
        <w:rPr>
          <w:i/>
          <w:snapToGrid w:val="0"/>
          <w:lang w:val="fr-FR"/>
        </w:rPr>
        <w:t>Bouyid</w:t>
      </w:r>
      <w:r w:rsidRPr="00D07C7C">
        <w:rPr>
          <w:snapToGrid w:val="0"/>
          <w:lang w:val="fr-FR"/>
        </w:rPr>
        <w:t>, § 101, précité</w:t>
      </w:r>
      <w:r w:rsidRPr="00D07C7C">
        <w:rPr>
          <w:lang w:val="fr-FR"/>
        </w:rPr>
        <w:t xml:space="preserve">). Plus précisément, en ce qui concerne la qualification juridique de torture, la Cour renvoie aux principes dégagés dans son arrêt </w:t>
      </w:r>
      <w:r w:rsidRPr="00D07C7C">
        <w:rPr>
          <w:i/>
          <w:lang w:val="fr-FR"/>
        </w:rPr>
        <w:t xml:space="preserve">Cestaro </w:t>
      </w:r>
      <w:r w:rsidRPr="00D07C7C">
        <w:rPr>
          <w:lang w:val="fr-FR"/>
        </w:rPr>
        <w:t>(précité, §§ 171-176).</w:t>
      </w:r>
    </w:p>
    <w:p w:rsidR="00FE73C2" w:rsidRPr="00D07C7C" w:rsidRDefault="00FE73C2" w:rsidP="00D07C7C">
      <w:pPr>
        <w:pStyle w:val="ECHRPara"/>
        <w:rPr>
          <w:szCs w:val="24"/>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113</w:t>
      </w:r>
      <w:r w:rsidRPr="00D07C7C">
        <w:rPr>
          <w:lang w:val="fr-FR"/>
        </w:rPr>
        <w:fldChar w:fldCharType="end"/>
      </w:r>
      <w:r w:rsidRPr="00D07C7C">
        <w:rPr>
          <w:lang w:val="fr-FR"/>
        </w:rPr>
        <w:t>.  Quant à l</w:t>
      </w:r>
      <w:r w:rsidR="00D07C7C" w:rsidRPr="00D07C7C">
        <w:rPr>
          <w:lang w:val="fr-FR"/>
        </w:rPr>
        <w:t>’</w:t>
      </w:r>
      <w:r w:rsidRPr="00D07C7C">
        <w:rPr>
          <w:lang w:val="fr-FR"/>
        </w:rPr>
        <w:t>appréciation des preuves, si la Cour a toujours souligné son devoir de se livrer à un examen particulièrement approfondi en cas d</w:t>
      </w:r>
      <w:r w:rsidR="00D07C7C" w:rsidRPr="00D07C7C">
        <w:rPr>
          <w:lang w:val="fr-FR"/>
        </w:rPr>
        <w:t>’</w:t>
      </w:r>
      <w:r w:rsidRPr="00D07C7C">
        <w:rPr>
          <w:lang w:val="fr-FR"/>
        </w:rPr>
        <w:t>allégations sur le terrain des articles 2 et 3 de la Convention (</w:t>
      </w:r>
      <w:r w:rsidRPr="00D07C7C">
        <w:rPr>
          <w:i/>
          <w:szCs w:val="24"/>
          <w:lang w:val="fr-FR"/>
        </w:rPr>
        <w:t>Matko c. Slovénie</w:t>
      </w:r>
      <w:r w:rsidRPr="00D07C7C">
        <w:rPr>
          <w:szCs w:val="24"/>
          <w:lang w:val="fr-FR"/>
        </w:rPr>
        <w:t>, n</w:t>
      </w:r>
      <w:r w:rsidRPr="00D07C7C">
        <w:rPr>
          <w:szCs w:val="24"/>
          <w:vertAlign w:val="superscript"/>
          <w:lang w:val="fr-FR"/>
        </w:rPr>
        <w:t>o</w:t>
      </w:r>
      <w:r w:rsidRPr="00D07C7C">
        <w:rPr>
          <w:szCs w:val="24"/>
          <w:lang w:val="fr-FR"/>
        </w:rPr>
        <w:t xml:space="preserve"> 43393/98, § 100, 2 novembre 2006, et </w:t>
      </w:r>
      <w:r w:rsidRPr="00D07C7C">
        <w:rPr>
          <w:i/>
          <w:lang w:val="fr-FR"/>
        </w:rPr>
        <w:t>Vladimir Romanov c. Russie</w:t>
      </w:r>
      <w:r w:rsidRPr="00D07C7C">
        <w:rPr>
          <w:lang w:val="fr-FR"/>
        </w:rPr>
        <w:t>, n</w:t>
      </w:r>
      <w:r w:rsidRPr="00D07C7C">
        <w:rPr>
          <w:vertAlign w:val="superscript"/>
          <w:lang w:val="fr-FR"/>
        </w:rPr>
        <w:t>o</w:t>
      </w:r>
      <w:r w:rsidRPr="00D07C7C">
        <w:rPr>
          <w:lang w:val="fr-FR"/>
        </w:rPr>
        <w:t> 41461/02, § 59, 24 juillet 2008), elle a également affirmé que, soucieuse de respecter la nature subsidiaire de son rôle, elle n</w:t>
      </w:r>
      <w:r w:rsidR="00D07C7C" w:rsidRPr="00D07C7C">
        <w:rPr>
          <w:lang w:val="fr-FR"/>
        </w:rPr>
        <w:t>’</w:t>
      </w:r>
      <w:r w:rsidRPr="00D07C7C">
        <w:rPr>
          <w:lang w:val="fr-FR"/>
        </w:rPr>
        <w:t>a pas pour tâche de substituer sa propre vision des choses à celle des cours et tribunaux nationaux, auxquels il appartient en principe de peser les données recueillies par eux (</w:t>
      </w:r>
      <w:r w:rsidRPr="00D07C7C">
        <w:rPr>
          <w:i/>
          <w:lang w:val="fr-FR"/>
        </w:rPr>
        <w:t>Klaas c. Allemagne</w:t>
      </w:r>
      <w:r w:rsidRPr="00D07C7C">
        <w:rPr>
          <w:lang w:val="fr-FR"/>
        </w:rPr>
        <w:t>, 22 septembre 1993, § 29, série A n</w:t>
      </w:r>
      <w:r w:rsidRPr="00D07C7C">
        <w:rPr>
          <w:vertAlign w:val="superscript"/>
          <w:lang w:val="fr-FR"/>
        </w:rPr>
        <w:t>o</w:t>
      </w:r>
      <w:r w:rsidRPr="00D07C7C">
        <w:rPr>
          <w:lang w:val="fr-FR"/>
        </w:rPr>
        <w:t xml:space="preserve"> 269, </w:t>
      </w:r>
      <w:r w:rsidRPr="00D07C7C">
        <w:rPr>
          <w:i/>
          <w:szCs w:val="24"/>
          <w:lang w:val="fr-FR"/>
        </w:rPr>
        <w:t>Jasar</w:t>
      </w:r>
      <w:r w:rsidRPr="00D07C7C">
        <w:rPr>
          <w:szCs w:val="24"/>
          <w:lang w:val="fr-FR"/>
        </w:rPr>
        <w:t xml:space="preserve"> </w:t>
      </w:r>
      <w:r w:rsidRPr="00D07C7C">
        <w:rPr>
          <w:i/>
          <w:szCs w:val="24"/>
          <w:lang w:val="fr-FR"/>
        </w:rPr>
        <w:t>c. l</w:t>
      </w:r>
      <w:r w:rsidR="00D07C7C" w:rsidRPr="00D07C7C">
        <w:rPr>
          <w:i/>
          <w:szCs w:val="24"/>
          <w:lang w:val="fr-FR"/>
        </w:rPr>
        <w:t>’</w:t>
      </w:r>
      <w:r w:rsidRPr="00D07C7C">
        <w:rPr>
          <w:i/>
          <w:szCs w:val="24"/>
          <w:lang w:val="fr-FR"/>
        </w:rPr>
        <w:t>ex</w:t>
      </w:r>
      <w:r w:rsidRPr="00D07C7C">
        <w:rPr>
          <w:i/>
          <w:szCs w:val="24"/>
          <w:lang w:val="fr-FR"/>
        </w:rPr>
        <w:noBreakHyphen/>
        <w:t>République yougoslave de Macédoine</w:t>
      </w:r>
      <w:r w:rsidRPr="00D07C7C">
        <w:rPr>
          <w:szCs w:val="24"/>
          <w:lang w:val="fr-FR"/>
        </w:rPr>
        <w:t>, n</w:t>
      </w:r>
      <w:r w:rsidRPr="00D07C7C">
        <w:rPr>
          <w:szCs w:val="24"/>
          <w:vertAlign w:val="superscript"/>
          <w:lang w:val="fr-FR"/>
        </w:rPr>
        <w:t>o</w:t>
      </w:r>
      <w:r w:rsidRPr="00D07C7C">
        <w:rPr>
          <w:szCs w:val="24"/>
          <w:lang w:val="fr-FR"/>
        </w:rPr>
        <w:t xml:space="preserve"> 69908/01, § 49, 15 février </w:t>
      </w:r>
      <w:r w:rsidRPr="00D07C7C">
        <w:rPr>
          <w:szCs w:val="24"/>
          <w:lang w:val="fr-FR"/>
        </w:rPr>
        <w:lastRenderedPageBreak/>
        <w:t xml:space="preserve">2007, et </w:t>
      </w:r>
      <w:r w:rsidRPr="00D07C7C">
        <w:rPr>
          <w:i/>
          <w:szCs w:val="24"/>
          <w:lang w:val="fr-FR"/>
        </w:rPr>
        <w:t xml:space="preserve">Eski </w:t>
      </w:r>
      <w:r w:rsidRPr="00D07C7C">
        <w:rPr>
          <w:i/>
          <w:lang w:val="fr-FR"/>
        </w:rPr>
        <w:t>c. Turquie</w:t>
      </w:r>
      <w:r w:rsidRPr="00D07C7C">
        <w:rPr>
          <w:lang w:val="fr-FR"/>
        </w:rPr>
        <w:t>, n</w:t>
      </w:r>
      <w:r w:rsidRPr="00D07C7C">
        <w:rPr>
          <w:vertAlign w:val="superscript"/>
          <w:lang w:val="fr-FR"/>
        </w:rPr>
        <w:t>o</w:t>
      </w:r>
      <w:r w:rsidRPr="00D07C7C">
        <w:rPr>
          <w:lang w:val="fr-FR"/>
        </w:rPr>
        <w:t> 8354/04, § 28,</w:t>
      </w:r>
      <w:r w:rsidRPr="00D07C7C">
        <w:rPr>
          <w:i/>
          <w:lang w:val="fr-FR"/>
        </w:rPr>
        <w:t xml:space="preserve"> </w:t>
      </w:r>
      <w:r w:rsidRPr="00D07C7C">
        <w:rPr>
          <w:lang w:val="fr-FR"/>
        </w:rPr>
        <w:t>5 juin 2012</w:t>
      </w:r>
      <w:r w:rsidRPr="00D07C7C">
        <w:rPr>
          <w:szCs w:val="24"/>
          <w:lang w:val="fr-FR"/>
        </w:rPr>
        <w:t>). Même si les constatations des tribunaux internes ne lient pas la Cour, il lui faut néanmoins d</w:t>
      </w:r>
      <w:r w:rsidR="00D07C7C" w:rsidRPr="00D07C7C">
        <w:rPr>
          <w:szCs w:val="24"/>
          <w:lang w:val="fr-FR"/>
        </w:rPr>
        <w:t>’</w:t>
      </w:r>
      <w:r w:rsidRPr="00D07C7C">
        <w:rPr>
          <w:szCs w:val="24"/>
          <w:lang w:val="fr-FR"/>
        </w:rPr>
        <w:t>habitude des éléments convaincants pour pouvoir s</w:t>
      </w:r>
      <w:r w:rsidR="00D07C7C" w:rsidRPr="00D07C7C">
        <w:rPr>
          <w:szCs w:val="24"/>
          <w:lang w:val="fr-FR"/>
        </w:rPr>
        <w:t>’</w:t>
      </w:r>
      <w:r w:rsidRPr="00D07C7C">
        <w:rPr>
          <w:szCs w:val="24"/>
          <w:lang w:val="fr-FR"/>
        </w:rPr>
        <w:t>écarter des constatations auxquelles ils sont parvenus (</w:t>
      </w:r>
      <w:r w:rsidRPr="00D07C7C">
        <w:rPr>
          <w:i/>
          <w:szCs w:val="24"/>
          <w:lang w:val="fr-FR"/>
        </w:rPr>
        <w:t>Gäfgen</w:t>
      </w:r>
      <w:r w:rsidRPr="00D07C7C">
        <w:rPr>
          <w:szCs w:val="24"/>
          <w:lang w:val="fr-FR"/>
        </w:rPr>
        <w:t>, précité, § 93).</w:t>
      </w:r>
    </w:p>
    <w:p w:rsidR="00FE73C2" w:rsidRPr="00D07C7C" w:rsidRDefault="00FE73C2" w:rsidP="00D07C7C">
      <w:pPr>
        <w:pStyle w:val="ECHRHeading6"/>
        <w:rPr>
          <w:lang w:val="fr-FR"/>
        </w:rPr>
      </w:pPr>
      <w:r w:rsidRPr="00D07C7C">
        <w:rPr>
          <w:rFonts w:cstheme="majorHAnsi"/>
          <w:lang w:val="fr-FR"/>
        </w:rPr>
        <w:t>β</w:t>
      </w:r>
      <w:r w:rsidR="00D07C7C" w:rsidRPr="00D07C7C">
        <w:rPr>
          <w:lang w:val="fr-FR"/>
        </w:rPr>
        <w:t>)</w:t>
      </w:r>
      <w:r w:rsidRPr="00D07C7C">
        <w:rPr>
          <w:lang w:val="fr-FR"/>
        </w:rPr>
        <w:t>  Application de ces principes aux circonstances des présentes espèces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114</w:t>
      </w:r>
      <w:r w:rsidRPr="00D07C7C">
        <w:rPr>
          <w:lang w:val="fr-FR"/>
        </w:rPr>
        <w:fldChar w:fldCharType="end"/>
      </w:r>
      <w:r w:rsidRPr="00D07C7C">
        <w:rPr>
          <w:lang w:val="fr-FR"/>
        </w:rPr>
        <w:t>.  La Cour note d</w:t>
      </w:r>
      <w:r w:rsidR="00D07C7C" w:rsidRPr="00D07C7C">
        <w:rPr>
          <w:lang w:val="fr-FR"/>
        </w:rPr>
        <w:t>’</w:t>
      </w:r>
      <w:r w:rsidRPr="00D07C7C">
        <w:rPr>
          <w:lang w:val="fr-FR"/>
        </w:rPr>
        <w:t xml:space="preserve">emblée que les tribunaux internes ont établi les faits de manière détaillée et approfondie (paragraphes </w:t>
      </w:r>
      <w:r w:rsidRPr="00D07C7C">
        <w:rPr>
          <w:lang w:val="fr-FR"/>
        </w:rPr>
        <w:fldChar w:fldCharType="begin"/>
      </w:r>
      <w:r w:rsidRPr="00D07C7C">
        <w:rPr>
          <w:lang w:val="fr-FR"/>
        </w:rPr>
        <w:instrText xml:space="preserve"> REF ENQUETE_PENALE \h  \* MERGEFORMAT </w:instrText>
      </w:r>
      <w:r w:rsidRPr="00D07C7C">
        <w:rPr>
          <w:lang w:val="fr-FR"/>
        </w:rPr>
      </w:r>
      <w:r w:rsidRPr="00D07C7C">
        <w:rPr>
          <w:lang w:val="fr-FR"/>
        </w:rPr>
        <w:fldChar w:fldCharType="separate"/>
      </w:r>
      <w:r w:rsidR="00D07C7C" w:rsidRPr="00D07C7C">
        <w:rPr>
          <w:noProof/>
          <w:lang w:val="fr-FR"/>
        </w:rPr>
        <w:t>69</w:t>
      </w:r>
      <w:r w:rsidRPr="00D07C7C">
        <w:rPr>
          <w:lang w:val="fr-FR"/>
        </w:rPr>
        <w:fldChar w:fldCharType="end"/>
      </w:r>
      <w:r w:rsidRPr="00D07C7C">
        <w:rPr>
          <w:lang w:val="fr-FR"/>
        </w:rPr>
        <w:t>-</w:t>
      </w:r>
      <w:r w:rsidRPr="00D07C7C">
        <w:rPr>
          <w:lang w:val="fr-FR"/>
        </w:rPr>
        <w:fldChar w:fldCharType="begin"/>
      </w:r>
      <w:r w:rsidRPr="00D07C7C">
        <w:rPr>
          <w:lang w:val="fr-FR"/>
        </w:rPr>
        <w:instrText xml:space="preserve"> REF ABSENCE_DELIT_TORTURE \h </w:instrText>
      </w:r>
      <w:r w:rsidRPr="00D07C7C">
        <w:rPr>
          <w:lang w:val="fr-FR"/>
        </w:rPr>
      </w:r>
      <w:r w:rsidRPr="00D07C7C">
        <w:rPr>
          <w:lang w:val="fr-FR"/>
        </w:rPr>
        <w:fldChar w:fldCharType="separate"/>
      </w:r>
      <w:r w:rsidR="00D07C7C" w:rsidRPr="00D07C7C">
        <w:rPr>
          <w:noProof/>
          <w:lang w:val="fr-FR"/>
        </w:rPr>
        <w:t>77</w:t>
      </w:r>
      <w:r w:rsidRPr="00D07C7C">
        <w:rPr>
          <w:lang w:val="fr-FR"/>
        </w:rPr>
        <w:fldChar w:fldCharType="end"/>
      </w:r>
      <w:r w:rsidRPr="00D07C7C">
        <w:rPr>
          <w:lang w:val="fr-FR"/>
        </w:rPr>
        <w:t xml:space="preserve"> ci-dessus), ce qui n</w:t>
      </w:r>
      <w:r w:rsidR="00D07C7C" w:rsidRPr="00D07C7C">
        <w:rPr>
          <w:lang w:val="fr-FR"/>
        </w:rPr>
        <w:t>’</w:t>
      </w:r>
      <w:r w:rsidRPr="00D07C7C">
        <w:rPr>
          <w:lang w:val="fr-FR"/>
        </w:rPr>
        <w:t>est d</w:t>
      </w:r>
      <w:r w:rsidR="00D07C7C" w:rsidRPr="00D07C7C">
        <w:rPr>
          <w:lang w:val="fr-FR"/>
        </w:rPr>
        <w:t>’</w:t>
      </w:r>
      <w:r w:rsidRPr="00D07C7C">
        <w:rPr>
          <w:lang w:val="fr-FR"/>
        </w:rPr>
        <w:t>ailleurs pas contesté par le Gouvernement. En particulier, les juges nationaux ont constaté ce qui suit :</w:t>
      </w:r>
    </w:p>
    <w:p w:rsidR="00FE73C2" w:rsidRPr="00D07C7C" w:rsidRDefault="00FE73C2" w:rsidP="00D07C7C">
      <w:pPr>
        <w:pStyle w:val="ECHRPara"/>
        <w:rPr>
          <w:lang w:val="fr-FR"/>
        </w:rPr>
      </w:pPr>
      <w:r w:rsidRPr="00D07C7C">
        <w:rPr>
          <w:lang w:val="fr-FR"/>
        </w:rPr>
        <w:t>–  la décision de procéder à l</w:t>
      </w:r>
      <w:r w:rsidR="00D07C7C" w:rsidRPr="00D07C7C">
        <w:rPr>
          <w:lang w:val="fr-FR"/>
        </w:rPr>
        <w:t>’</w:t>
      </w:r>
      <w:r w:rsidRPr="00D07C7C">
        <w:rPr>
          <w:lang w:val="fr-FR"/>
        </w:rPr>
        <w:t>irruption à l</w:t>
      </w:r>
      <w:r w:rsidR="00D07C7C" w:rsidRPr="00D07C7C">
        <w:rPr>
          <w:lang w:val="fr-FR"/>
        </w:rPr>
        <w:t>’</w:t>
      </w:r>
      <w:r w:rsidRPr="00D07C7C">
        <w:rPr>
          <w:lang w:val="fr-FR"/>
        </w:rPr>
        <w:t xml:space="preserve">intérieur des écoles Diaz-Pertini et Pascoli a été prise par les hauts fonctionnaires de police présents à Gênes (paragraphe </w:t>
      </w:r>
      <w:r w:rsidRPr="00D07C7C">
        <w:rPr>
          <w:lang w:val="fr-FR"/>
        </w:rPr>
        <w:fldChar w:fldCharType="begin"/>
      </w:r>
      <w:r w:rsidRPr="00D07C7C">
        <w:rPr>
          <w:lang w:val="fr-FR"/>
        </w:rPr>
        <w:instrText xml:space="preserve"> REF PLANIFICATION_OPERATION \h </w:instrText>
      </w:r>
      <w:r w:rsidRPr="00D07C7C">
        <w:rPr>
          <w:lang w:val="fr-FR"/>
        </w:rPr>
      </w:r>
      <w:r w:rsidRPr="00D07C7C">
        <w:rPr>
          <w:lang w:val="fr-FR"/>
        </w:rPr>
        <w:fldChar w:fldCharType="separate"/>
      </w:r>
      <w:r w:rsidR="00D07C7C" w:rsidRPr="00D07C7C">
        <w:rPr>
          <w:noProof/>
          <w:lang w:val="fr-FR"/>
        </w:rPr>
        <w:t>12</w:t>
      </w:r>
      <w:r w:rsidRPr="00D07C7C">
        <w:rPr>
          <w:lang w:val="fr-FR"/>
        </w:rPr>
        <w:fldChar w:fldCharType="end"/>
      </w:r>
      <w:r w:rsidRPr="00D07C7C">
        <w:rPr>
          <w:lang w:val="fr-FR"/>
        </w:rPr>
        <w:t xml:space="preserve"> ci-dessus). Cette opération de perquisition (</w:t>
      </w:r>
      <w:r w:rsidRPr="00D07C7C">
        <w:rPr>
          <w:i/>
          <w:lang w:val="fr-FR"/>
        </w:rPr>
        <w:t>perquisizione ad iniziativa autonoma</w:t>
      </w:r>
      <w:r w:rsidRPr="00D07C7C">
        <w:rPr>
          <w:lang w:val="fr-FR"/>
        </w:rPr>
        <w:t>) visant à la recherche d</w:t>
      </w:r>
      <w:r w:rsidR="00D07C7C" w:rsidRPr="00D07C7C">
        <w:rPr>
          <w:lang w:val="fr-FR"/>
        </w:rPr>
        <w:t>’</w:t>
      </w:r>
      <w:r w:rsidRPr="00D07C7C">
        <w:rPr>
          <w:lang w:val="fr-FR"/>
        </w:rPr>
        <w:t xml:space="preserve">armes, bien que pleinement légitime (paragraphe </w:t>
      </w:r>
      <w:r w:rsidRPr="00D07C7C">
        <w:rPr>
          <w:lang w:val="fr-FR"/>
        </w:rPr>
        <w:fldChar w:fldCharType="begin"/>
      </w:r>
      <w:r w:rsidRPr="00D07C7C">
        <w:rPr>
          <w:lang w:val="fr-FR"/>
        </w:rPr>
        <w:instrText xml:space="preserve"> REF MOTIVATION_PREMIERE_INSTANCE_1 \h  \* MERGEFORMAT </w:instrText>
      </w:r>
      <w:r w:rsidRPr="00D07C7C">
        <w:rPr>
          <w:lang w:val="fr-FR"/>
        </w:rPr>
      </w:r>
      <w:r w:rsidRPr="00D07C7C">
        <w:rPr>
          <w:lang w:val="fr-FR"/>
        </w:rPr>
        <w:fldChar w:fldCharType="separate"/>
      </w:r>
      <w:r w:rsidR="00D07C7C" w:rsidRPr="00D07C7C">
        <w:rPr>
          <w:noProof/>
          <w:lang w:val="fr-FR"/>
        </w:rPr>
        <w:t>70</w:t>
      </w:r>
      <w:r w:rsidRPr="00D07C7C">
        <w:rPr>
          <w:lang w:val="fr-FR"/>
        </w:rPr>
        <w:fldChar w:fldCharType="end"/>
      </w:r>
      <w:r w:rsidRPr="00D07C7C">
        <w:rPr>
          <w:lang w:val="fr-FR"/>
        </w:rPr>
        <w:t xml:space="preserve"> ci-dessus), devait en même temps permettre des arrestations « médiatisées » afin d</w:t>
      </w:r>
      <w:r w:rsidR="00D07C7C" w:rsidRPr="00D07C7C">
        <w:rPr>
          <w:lang w:val="fr-FR"/>
        </w:rPr>
        <w:t>’</w:t>
      </w:r>
      <w:r w:rsidRPr="00D07C7C">
        <w:rPr>
          <w:lang w:val="fr-FR"/>
        </w:rPr>
        <w:t>effacer l</w:t>
      </w:r>
      <w:r w:rsidR="00D07C7C" w:rsidRPr="00D07C7C">
        <w:rPr>
          <w:lang w:val="fr-FR"/>
        </w:rPr>
        <w:t>’</w:t>
      </w:r>
      <w:r w:rsidRPr="00D07C7C">
        <w:rPr>
          <w:lang w:val="fr-FR"/>
        </w:rPr>
        <w:t>image d</w:t>
      </w:r>
      <w:r w:rsidR="00D07C7C" w:rsidRPr="00D07C7C">
        <w:rPr>
          <w:lang w:val="fr-FR"/>
        </w:rPr>
        <w:t>’</w:t>
      </w:r>
      <w:r w:rsidRPr="00D07C7C">
        <w:rPr>
          <w:lang w:val="fr-FR"/>
        </w:rPr>
        <w:t>une police inerte face aux très graves épisodes de dévastation et de pillage survenus l</w:t>
      </w:r>
      <w:r w:rsidR="00D07C7C" w:rsidRPr="00D07C7C">
        <w:rPr>
          <w:lang w:val="fr-FR"/>
        </w:rPr>
        <w:t>es 20 et 21 juillet (paragraphe </w:t>
      </w:r>
      <w:r w:rsidRPr="00D07C7C">
        <w:rPr>
          <w:lang w:val="fr-FR"/>
        </w:rPr>
        <w:fldChar w:fldCharType="begin"/>
      </w:r>
      <w:r w:rsidRPr="00D07C7C">
        <w:rPr>
          <w:lang w:val="fr-FR"/>
        </w:rPr>
        <w:instrText xml:space="preserve"> REF BUT_OPERATION_POLICE \h </w:instrText>
      </w:r>
      <w:r w:rsidRPr="00D07C7C">
        <w:rPr>
          <w:lang w:val="fr-FR"/>
        </w:rPr>
      </w:r>
      <w:r w:rsidRPr="00D07C7C">
        <w:rPr>
          <w:lang w:val="fr-FR"/>
        </w:rPr>
        <w:fldChar w:fldCharType="separate"/>
      </w:r>
      <w:r w:rsidR="00D07C7C" w:rsidRPr="00D07C7C">
        <w:rPr>
          <w:noProof/>
          <w:lang w:val="fr-FR"/>
        </w:rPr>
        <w:t>73</w:t>
      </w:r>
      <w:r w:rsidRPr="00D07C7C">
        <w:rPr>
          <w:lang w:val="fr-FR"/>
        </w:rPr>
        <w:fldChar w:fldCharType="end"/>
      </w:r>
      <w:r w:rsidRPr="00D07C7C">
        <w:rPr>
          <w:lang w:val="fr-FR"/>
        </w:rPr>
        <w:t xml:space="preserve"> ci-dessus) ;</w:t>
      </w:r>
    </w:p>
    <w:p w:rsidR="00FE73C2" w:rsidRPr="00D07C7C" w:rsidRDefault="00FE73C2" w:rsidP="00D07C7C">
      <w:pPr>
        <w:pStyle w:val="ECHRPara"/>
        <w:rPr>
          <w:lang w:val="fr-FR"/>
        </w:rPr>
      </w:pPr>
      <w:r w:rsidRPr="00D07C7C">
        <w:rPr>
          <w:lang w:val="fr-FR"/>
        </w:rPr>
        <w:t>–  au cours de l</w:t>
      </w:r>
      <w:r w:rsidR="00D07C7C" w:rsidRPr="00D07C7C">
        <w:rPr>
          <w:lang w:val="fr-FR"/>
        </w:rPr>
        <w:t>’</w:t>
      </w:r>
      <w:r w:rsidRPr="00D07C7C">
        <w:rPr>
          <w:lang w:val="fr-FR"/>
        </w:rPr>
        <w:t>irruption dans l</w:t>
      </w:r>
      <w:r w:rsidR="00D07C7C" w:rsidRPr="00D07C7C">
        <w:rPr>
          <w:lang w:val="fr-FR"/>
        </w:rPr>
        <w:t>’</w:t>
      </w:r>
      <w:r w:rsidRPr="00D07C7C">
        <w:rPr>
          <w:lang w:val="fr-FR"/>
        </w:rPr>
        <w:t>école Diaz-Pertini, les agents ont frappé la quasi-totalité des occupants à coups de poing, à coups de pied et à coups de matraque, en proférant des insultes et des menaces ;</w:t>
      </w:r>
    </w:p>
    <w:p w:rsidR="00FE73C2" w:rsidRPr="00D07C7C" w:rsidRDefault="00FE73C2" w:rsidP="00D07C7C">
      <w:pPr>
        <w:pStyle w:val="ECHRPara"/>
        <w:rPr>
          <w:lang w:val="fr-FR"/>
        </w:rPr>
      </w:pPr>
      <w:r w:rsidRPr="00D07C7C">
        <w:rPr>
          <w:lang w:val="fr-FR"/>
        </w:rPr>
        <w:t>–  à l</w:t>
      </w:r>
      <w:r w:rsidR="00D07C7C" w:rsidRPr="00D07C7C">
        <w:rPr>
          <w:lang w:val="fr-FR"/>
        </w:rPr>
        <w:t>’</w:t>
      </w:r>
      <w:r w:rsidRPr="00D07C7C">
        <w:rPr>
          <w:lang w:val="fr-FR"/>
        </w:rPr>
        <w:t>issue de l</w:t>
      </w:r>
      <w:r w:rsidR="00D07C7C" w:rsidRPr="00D07C7C">
        <w:rPr>
          <w:lang w:val="fr-FR"/>
        </w:rPr>
        <w:t>’</w:t>
      </w:r>
      <w:r w:rsidRPr="00D07C7C">
        <w:rPr>
          <w:lang w:val="fr-FR"/>
        </w:rPr>
        <w:t>opération, les 93 occupants ont été arrêtés, 78 d</w:t>
      </w:r>
      <w:r w:rsidR="00D07C7C" w:rsidRPr="00D07C7C">
        <w:rPr>
          <w:lang w:val="fr-FR"/>
        </w:rPr>
        <w:t>’</w:t>
      </w:r>
      <w:r w:rsidRPr="00D07C7C">
        <w:rPr>
          <w:lang w:val="fr-FR"/>
        </w:rPr>
        <w:t xml:space="preserve">entre eux ont été hospitalisés en raison des blessures subies (paragraphe </w:t>
      </w:r>
      <w:r w:rsidRPr="00D07C7C">
        <w:rPr>
          <w:lang w:val="fr-FR"/>
        </w:rPr>
        <w:fldChar w:fldCharType="begin"/>
      </w:r>
      <w:r w:rsidRPr="00D07C7C">
        <w:rPr>
          <w:lang w:val="fr-FR"/>
        </w:rPr>
        <w:instrText xml:space="preserve"> REF ARRESTATION_CHIFFRES \h  \* MERGEFORMAT </w:instrText>
      </w:r>
      <w:r w:rsidRPr="00D07C7C">
        <w:rPr>
          <w:lang w:val="fr-FR"/>
        </w:rPr>
      </w:r>
      <w:r w:rsidRPr="00D07C7C">
        <w:rPr>
          <w:lang w:val="fr-FR"/>
        </w:rPr>
        <w:fldChar w:fldCharType="separate"/>
      </w:r>
      <w:r w:rsidR="00D07C7C" w:rsidRPr="00D07C7C">
        <w:rPr>
          <w:noProof/>
          <w:lang w:val="fr-FR"/>
        </w:rPr>
        <w:t>61</w:t>
      </w:r>
      <w:r w:rsidRPr="00D07C7C">
        <w:rPr>
          <w:lang w:val="fr-FR"/>
        </w:rPr>
        <w:fldChar w:fldCharType="end"/>
      </w:r>
      <w:r w:rsidRPr="00D07C7C">
        <w:rPr>
          <w:lang w:val="fr-FR"/>
        </w:rPr>
        <w:t xml:space="preserve"> ci-dessus) ;</w:t>
      </w:r>
    </w:p>
    <w:p w:rsidR="00FE73C2" w:rsidRPr="00D07C7C" w:rsidRDefault="00FE73C2" w:rsidP="00D07C7C">
      <w:pPr>
        <w:pStyle w:val="ECHRPara"/>
        <w:rPr>
          <w:lang w:val="fr-FR"/>
        </w:rPr>
      </w:pPr>
      <w:r w:rsidRPr="00D07C7C">
        <w:rPr>
          <w:lang w:val="fr-FR"/>
        </w:rPr>
        <w:t>–  les violences commises, multiples et répétées, ont atteint un niveau de gravité absolue car commises dans tous les locaux de l</w:t>
      </w:r>
      <w:r w:rsidR="00D07C7C" w:rsidRPr="00D07C7C">
        <w:rPr>
          <w:lang w:val="fr-FR"/>
        </w:rPr>
        <w:t>’</w:t>
      </w:r>
      <w:r w:rsidRPr="00D07C7C">
        <w:rPr>
          <w:lang w:val="fr-FR"/>
        </w:rPr>
        <w:t>école et à l</w:t>
      </w:r>
      <w:r w:rsidR="00D07C7C" w:rsidRPr="00D07C7C">
        <w:rPr>
          <w:lang w:val="fr-FR"/>
        </w:rPr>
        <w:t>’</w:t>
      </w:r>
      <w:r w:rsidRPr="00D07C7C">
        <w:rPr>
          <w:lang w:val="fr-FR"/>
        </w:rPr>
        <w:t>égard de personnes à l</w:t>
      </w:r>
      <w:r w:rsidR="00D07C7C" w:rsidRPr="00D07C7C">
        <w:rPr>
          <w:lang w:val="fr-FR"/>
        </w:rPr>
        <w:t>’</w:t>
      </w:r>
      <w:r w:rsidRPr="00D07C7C">
        <w:rPr>
          <w:lang w:val="fr-FR"/>
        </w:rPr>
        <w:t>évidence désarmées, endormies ou assises les mains en l</w:t>
      </w:r>
      <w:r w:rsidR="00D07C7C" w:rsidRPr="00D07C7C">
        <w:rPr>
          <w:lang w:val="fr-FR"/>
        </w:rPr>
        <w:t>’</w:t>
      </w:r>
      <w:r w:rsidRPr="00D07C7C">
        <w:rPr>
          <w:lang w:val="fr-FR"/>
        </w:rPr>
        <w:t>air (paragraphe </w:t>
      </w:r>
      <w:r w:rsidRPr="00D07C7C">
        <w:rPr>
          <w:lang w:val="fr-FR"/>
        </w:rPr>
        <w:fldChar w:fldCharType="begin"/>
      </w:r>
      <w:r w:rsidRPr="00D07C7C">
        <w:rPr>
          <w:lang w:val="fr-FR"/>
        </w:rPr>
        <w:instrText xml:space="preserve"> REF VIOLENCES_GRAVITE_ABSOLUE \h </w:instrText>
      </w:r>
      <w:r w:rsidRPr="00D07C7C">
        <w:rPr>
          <w:lang w:val="fr-FR"/>
        </w:rPr>
      </w:r>
      <w:r w:rsidRPr="00D07C7C">
        <w:rPr>
          <w:lang w:val="fr-FR"/>
        </w:rPr>
        <w:fldChar w:fldCharType="separate"/>
      </w:r>
      <w:r w:rsidR="00D07C7C" w:rsidRPr="00D07C7C">
        <w:rPr>
          <w:noProof/>
          <w:lang w:val="fr-FR"/>
        </w:rPr>
        <w:t>76</w:t>
      </w:r>
      <w:r w:rsidRPr="00D07C7C">
        <w:rPr>
          <w:lang w:val="fr-FR"/>
        </w:rPr>
        <w:fldChar w:fldCharType="end"/>
      </w:r>
      <w:r w:rsidRPr="00D07C7C">
        <w:rPr>
          <w:lang w:val="fr-FR"/>
        </w:rPr>
        <w:t xml:space="preserve"> ci-dessus) ;</w:t>
      </w:r>
    </w:p>
    <w:p w:rsidR="00FE73C2" w:rsidRPr="00D07C7C" w:rsidRDefault="00FE73C2" w:rsidP="00D07C7C">
      <w:pPr>
        <w:pStyle w:val="ECHRPara"/>
        <w:rPr>
          <w:lang w:val="fr-FR"/>
        </w:rPr>
      </w:pPr>
      <w:r w:rsidRPr="00D07C7C">
        <w:rPr>
          <w:lang w:val="fr-FR"/>
        </w:rPr>
        <w:t>–  lesdites violences étaient injustifiées et ont été exercées dans un but punitif et de représailles, visant à provoquer l</w:t>
      </w:r>
      <w:r w:rsidR="00D07C7C" w:rsidRPr="00D07C7C">
        <w:rPr>
          <w:lang w:val="fr-FR"/>
        </w:rPr>
        <w:t>’</w:t>
      </w:r>
      <w:r w:rsidRPr="00D07C7C">
        <w:rPr>
          <w:lang w:val="fr-FR"/>
        </w:rPr>
        <w:t>humiliation et la souffrance physique et morale des victimes. D</w:t>
      </w:r>
      <w:r w:rsidR="00D07C7C" w:rsidRPr="00D07C7C">
        <w:rPr>
          <w:lang w:val="fr-FR"/>
        </w:rPr>
        <w:t>’</w:t>
      </w:r>
      <w:r w:rsidRPr="00D07C7C">
        <w:rPr>
          <w:lang w:val="fr-FR"/>
        </w:rPr>
        <w:t>après la Cour de cassation, ces actes pouvaient relever de la « torture » aux termes de la Convention contre la torture des Nations unies et aux termes de l</w:t>
      </w:r>
      <w:r w:rsidR="00D07C7C" w:rsidRPr="00D07C7C">
        <w:rPr>
          <w:lang w:val="fr-FR"/>
        </w:rPr>
        <w:t>’</w:t>
      </w:r>
      <w:r w:rsidRPr="00D07C7C">
        <w:rPr>
          <w:lang w:val="fr-FR"/>
        </w:rPr>
        <w:t>article 3 de la Convention (paragraphe </w:t>
      </w:r>
      <w:r w:rsidRPr="00D07C7C">
        <w:rPr>
          <w:lang w:val="fr-FR"/>
        </w:rPr>
        <w:fldChar w:fldCharType="begin"/>
      </w:r>
      <w:r w:rsidRPr="00D07C7C">
        <w:rPr>
          <w:lang w:val="fr-FR"/>
        </w:rPr>
        <w:instrText xml:space="preserve"> REF ABSENCE_DELIT_TORTURE \h </w:instrText>
      </w:r>
      <w:r w:rsidRPr="00D07C7C">
        <w:rPr>
          <w:lang w:val="fr-FR"/>
        </w:rPr>
      </w:r>
      <w:r w:rsidRPr="00D07C7C">
        <w:rPr>
          <w:lang w:val="fr-FR"/>
        </w:rPr>
        <w:fldChar w:fldCharType="separate"/>
      </w:r>
      <w:r w:rsidR="00D07C7C" w:rsidRPr="00D07C7C">
        <w:rPr>
          <w:noProof/>
          <w:lang w:val="fr-FR"/>
        </w:rPr>
        <w:t>77</w:t>
      </w:r>
      <w:r w:rsidRPr="00D07C7C">
        <w:rPr>
          <w:lang w:val="fr-FR"/>
        </w:rPr>
        <w:fldChar w:fldCharType="end"/>
      </w:r>
      <w:r w:rsidRPr="00D07C7C">
        <w:rPr>
          <w:lang w:val="fr-FR"/>
        </w:rPr>
        <w:t xml:space="preserve"> ci-dessus).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115</w:t>
      </w:r>
      <w:r w:rsidRPr="00D07C7C">
        <w:rPr>
          <w:lang w:val="fr-FR"/>
        </w:rPr>
        <w:fldChar w:fldCharType="end"/>
      </w:r>
      <w:r w:rsidRPr="00D07C7C">
        <w:rPr>
          <w:lang w:val="fr-FR"/>
        </w:rPr>
        <w:t>.  En tenant compte de ces éléments comme toile de fond, la Cour observe que la planification de l</w:t>
      </w:r>
      <w:r w:rsidR="00D07C7C" w:rsidRPr="00D07C7C">
        <w:rPr>
          <w:lang w:val="fr-FR"/>
        </w:rPr>
        <w:t>’</w:t>
      </w:r>
      <w:r w:rsidRPr="00D07C7C">
        <w:rPr>
          <w:lang w:val="fr-FR"/>
        </w:rPr>
        <w:t>opération de police s</w:t>
      </w:r>
      <w:r w:rsidR="00D07C7C" w:rsidRPr="00D07C7C">
        <w:rPr>
          <w:lang w:val="fr-FR"/>
        </w:rPr>
        <w:t>’</w:t>
      </w:r>
      <w:r w:rsidRPr="00D07C7C">
        <w:rPr>
          <w:lang w:val="fr-FR"/>
        </w:rPr>
        <w:t>est bornée à prévoir de manière générale la séquence des phases opérationnelles (« sécurisation » et perquisition proprement dite) sans pour autant préciser en détail les modalités d</w:t>
      </w:r>
      <w:r w:rsidR="00D07C7C" w:rsidRPr="00D07C7C">
        <w:rPr>
          <w:lang w:val="fr-FR"/>
        </w:rPr>
        <w:t>’</w:t>
      </w:r>
      <w:r w:rsidRPr="00D07C7C">
        <w:rPr>
          <w:lang w:val="fr-FR"/>
        </w:rPr>
        <w:t>engagement et d</w:t>
      </w:r>
      <w:r w:rsidR="00D07C7C" w:rsidRPr="00D07C7C">
        <w:rPr>
          <w:lang w:val="fr-FR"/>
        </w:rPr>
        <w:t>’</w:t>
      </w:r>
      <w:r w:rsidRPr="00D07C7C">
        <w:rPr>
          <w:lang w:val="fr-FR"/>
        </w:rPr>
        <w:t xml:space="preserve">utilisation éventuelle de la force (paragraphe </w:t>
      </w:r>
      <w:r w:rsidRPr="00D07C7C">
        <w:rPr>
          <w:lang w:val="fr-FR"/>
        </w:rPr>
        <w:fldChar w:fldCharType="begin"/>
      </w:r>
      <w:r w:rsidRPr="00D07C7C">
        <w:rPr>
          <w:lang w:val="fr-FR"/>
        </w:rPr>
        <w:instrText xml:space="preserve"> REF PLANIFICATION_OPERATION \h  \* MERGEFORMAT </w:instrText>
      </w:r>
      <w:r w:rsidRPr="00D07C7C">
        <w:rPr>
          <w:lang w:val="fr-FR"/>
        </w:rPr>
      </w:r>
      <w:r w:rsidRPr="00D07C7C">
        <w:rPr>
          <w:lang w:val="fr-FR"/>
        </w:rPr>
        <w:fldChar w:fldCharType="separate"/>
      </w:r>
      <w:r w:rsidR="00D07C7C" w:rsidRPr="00D07C7C">
        <w:rPr>
          <w:noProof/>
          <w:lang w:val="fr-FR"/>
        </w:rPr>
        <w:t>12</w:t>
      </w:r>
      <w:r w:rsidRPr="00D07C7C">
        <w:rPr>
          <w:lang w:val="fr-FR"/>
        </w:rPr>
        <w:fldChar w:fldCharType="end"/>
      </w:r>
      <w:r w:rsidRPr="00D07C7C">
        <w:rPr>
          <w:lang w:val="fr-FR"/>
        </w:rPr>
        <w:t xml:space="preserve"> ci-dessus). Elle rappelle également que la tâche d</w:t>
      </w:r>
      <w:r w:rsidR="00D07C7C" w:rsidRPr="00D07C7C">
        <w:rPr>
          <w:lang w:val="fr-FR"/>
        </w:rPr>
        <w:t>’</w:t>
      </w:r>
      <w:r w:rsidRPr="00D07C7C">
        <w:rPr>
          <w:lang w:val="fr-FR"/>
        </w:rPr>
        <w:t>intervenir en premier, afin de contrer toute hypothétique forme de résistance et de violence de la part des occupants de l</w:t>
      </w:r>
      <w:r w:rsidR="00D07C7C" w:rsidRPr="00D07C7C">
        <w:rPr>
          <w:lang w:val="fr-FR"/>
        </w:rPr>
        <w:t>’</w:t>
      </w:r>
      <w:r w:rsidRPr="00D07C7C">
        <w:rPr>
          <w:lang w:val="fr-FR"/>
        </w:rPr>
        <w:t xml:space="preserve">école, a été attribuée au </w:t>
      </w:r>
      <w:r w:rsidRPr="00D07C7C">
        <w:rPr>
          <w:i/>
          <w:lang w:val="fr-FR"/>
        </w:rPr>
        <w:t>VII Nucleo antisommossa</w:t>
      </w:r>
      <w:r w:rsidRPr="00D07C7C">
        <w:rPr>
          <w:lang w:val="fr-FR"/>
        </w:rPr>
        <w:t xml:space="preserve">. En particulier, elle note que les agents de cette unité sont arrivés sur les lieux au pas de course et en tenue antiémeute, munis de casques, de boucliers et de matraques de type </w:t>
      </w:r>
      <w:r w:rsidRPr="00D07C7C">
        <w:rPr>
          <w:i/>
          <w:lang w:val="fr-FR"/>
        </w:rPr>
        <w:t>tonfa.</w:t>
      </w:r>
      <w:r w:rsidRPr="00D07C7C">
        <w:rPr>
          <w:lang w:val="fr-FR"/>
        </w:rPr>
        <w:t xml:space="preserve"> La police a fait irruption dans l</w:t>
      </w:r>
      <w:r w:rsidR="00D07C7C" w:rsidRPr="00D07C7C">
        <w:rPr>
          <w:lang w:val="fr-FR"/>
        </w:rPr>
        <w:t>’</w:t>
      </w:r>
      <w:r w:rsidRPr="00D07C7C">
        <w:rPr>
          <w:lang w:val="fr-FR"/>
        </w:rPr>
        <w:t>enceinte de l</w:t>
      </w:r>
      <w:r w:rsidR="00D07C7C" w:rsidRPr="00D07C7C">
        <w:rPr>
          <w:lang w:val="fr-FR"/>
        </w:rPr>
        <w:t>’</w:t>
      </w:r>
      <w:r w:rsidRPr="00D07C7C">
        <w:rPr>
          <w:lang w:val="fr-FR"/>
        </w:rPr>
        <w:t xml:space="preserve">école en enfonçant la grille </w:t>
      </w:r>
      <w:r w:rsidRPr="00D07C7C">
        <w:rPr>
          <w:lang w:val="fr-FR"/>
        </w:rPr>
        <w:lastRenderedPageBreak/>
        <w:t>d</w:t>
      </w:r>
      <w:r w:rsidR="00D07C7C" w:rsidRPr="00D07C7C">
        <w:rPr>
          <w:lang w:val="fr-FR"/>
        </w:rPr>
        <w:t>’</w:t>
      </w:r>
      <w:r w:rsidRPr="00D07C7C">
        <w:rPr>
          <w:lang w:val="fr-FR"/>
        </w:rPr>
        <w:t>entrée à l</w:t>
      </w:r>
      <w:r w:rsidR="00D07C7C" w:rsidRPr="00D07C7C">
        <w:rPr>
          <w:lang w:val="fr-FR"/>
        </w:rPr>
        <w:t>’</w:t>
      </w:r>
      <w:r w:rsidRPr="00D07C7C">
        <w:rPr>
          <w:lang w:val="fr-FR"/>
        </w:rPr>
        <w:t>aide d</w:t>
      </w:r>
      <w:r w:rsidR="00D07C7C" w:rsidRPr="00D07C7C">
        <w:rPr>
          <w:lang w:val="fr-FR"/>
        </w:rPr>
        <w:t>’</w:t>
      </w:r>
      <w:r w:rsidRPr="00D07C7C">
        <w:rPr>
          <w:lang w:val="fr-FR"/>
        </w:rPr>
        <w:t>un engin blindé. Les portes d</w:t>
      </w:r>
      <w:r w:rsidR="00D07C7C" w:rsidRPr="00D07C7C">
        <w:rPr>
          <w:lang w:val="fr-FR"/>
        </w:rPr>
        <w:t>’</w:t>
      </w:r>
      <w:r w:rsidRPr="00D07C7C">
        <w:rPr>
          <w:lang w:val="fr-FR"/>
        </w:rPr>
        <w:t>entrée ont été rapidement forcées et, une fois à l</w:t>
      </w:r>
      <w:r w:rsidR="00D07C7C" w:rsidRPr="00D07C7C">
        <w:rPr>
          <w:lang w:val="fr-FR"/>
        </w:rPr>
        <w:t>’</w:t>
      </w:r>
      <w:r w:rsidRPr="00D07C7C">
        <w:rPr>
          <w:lang w:val="fr-FR"/>
        </w:rPr>
        <w:t xml:space="preserve">intérieur, les agents ont fait un usage indiscriminé, systématique et disproportionné de la force (paragraphe </w:t>
      </w:r>
      <w:r w:rsidRPr="00D07C7C">
        <w:rPr>
          <w:lang w:val="fr-FR"/>
        </w:rPr>
        <w:fldChar w:fldCharType="begin"/>
      </w:r>
      <w:r w:rsidRPr="00D07C7C">
        <w:rPr>
          <w:lang w:val="fr-FR"/>
        </w:rPr>
        <w:instrText xml:space="preserve"> REF VIOLENCES_COMMISES_JUGES_AU_FOND \h  \* MERGEFORMAT </w:instrText>
      </w:r>
      <w:r w:rsidRPr="00D07C7C">
        <w:rPr>
          <w:lang w:val="fr-FR"/>
        </w:rPr>
      </w:r>
      <w:r w:rsidRPr="00D07C7C">
        <w:rPr>
          <w:lang w:val="fr-FR"/>
        </w:rPr>
        <w:fldChar w:fldCharType="separate"/>
      </w:r>
      <w:r w:rsidR="00D07C7C" w:rsidRPr="00D07C7C">
        <w:rPr>
          <w:noProof/>
          <w:lang w:val="fr-FR"/>
        </w:rPr>
        <w:t>15</w:t>
      </w:r>
      <w:r w:rsidRPr="00D07C7C">
        <w:rPr>
          <w:lang w:val="fr-FR"/>
        </w:rPr>
        <w:fldChar w:fldCharType="end"/>
      </w:r>
      <w:r w:rsidRPr="00D07C7C">
        <w:rPr>
          <w:lang w:val="fr-FR"/>
        </w:rPr>
        <w:t xml:space="preserve"> ci-dessus).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116</w:t>
      </w:r>
      <w:r w:rsidRPr="00D07C7C">
        <w:rPr>
          <w:lang w:val="fr-FR"/>
        </w:rPr>
        <w:fldChar w:fldCharType="end"/>
      </w:r>
      <w:r w:rsidRPr="00D07C7C">
        <w:rPr>
          <w:lang w:val="fr-FR"/>
        </w:rPr>
        <w:t>.  La Cour estime que ces éléments montrent les défaillances de la planification de l</w:t>
      </w:r>
      <w:r w:rsidR="00D07C7C" w:rsidRPr="00D07C7C">
        <w:rPr>
          <w:lang w:val="fr-FR"/>
        </w:rPr>
        <w:t>’</w:t>
      </w:r>
      <w:r w:rsidRPr="00D07C7C">
        <w:rPr>
          <w:lang w:val="fr-FR"/>
        </w:rPr>
        <w:t>opération de police. Les forces de l</w:t>
      </w:r>
      <w:r w:rsidR="00D07C7C" w:rsidRPr="00D07C7C">
        <w:rPr>
          <w:lang w:val="fr-FR"/>
        </w:rPr>
        <w:t>’</w:t>
      </w:r>
      <w:r w:rsidRPr="00D07C7C">
        <w:rPr>
          <w:lang w:val="fr-FR"/>
        </w:rPr>
        <w:t>ordre ne se trouvaient pas face à une situation d</w:t>
      </w:r>
      <w:r w:rsidR="00D07C7C" w:rsidRPr="00D07C7C">
        <w:rPr>
          <w:lang w:val="fr-FR"/>
        </w:rPr>
        <w:t>’</w:t>
      </w:r>
      <w:r w:rsidRPr="00D07C7C">
        <w:rPr>
          <w:lang w:val="fr-FR"/>
        </w:rPr>
        <w:t>urgence, à une menace immédiate empêchant de prévoir une intervention adéquate, adaptée au contexte et proportionnée aux menaces potentielles. La Cour considère que les hauts responsables avaient la possibilité de planifier l</w:t>
      </w:r>
      <w:r w:rsidR="00D07C7C" w:rsidRPr="00D07C7C">
        <w:rPr>
          <w:lang w:val="fr-FR"/>
        </w:rPr>
        <w:t>’</w:t>
      </w:r>
      <w:r w:rsidRPr="00D07C7C">
        <w:rPr>
          <w:lang w:val="fr-FR"/>
        </w:rPr>
        <w:t>intervention de la police, d</w:t>
      </w:r>
      <w:r w:rsidR="00D07C7C" w:rsidRPr="00D07C7C">
        <w:rPr>
          <w:lang w:val="fr-FR"/>
        </w:rPr>
        <w:t>’</w:t>
      </w:r>
      <w:r w:rsidRPr="00D07C7C">
        <w:rPr>
          <w:lang w:val="fr-FR"/>
        </w:rPr>
        <w:t>analyser l</w:t>
      </w:r>
      <w:r w:rsidR="00D07C7C" w:rsidRPr="00D07C7C">
        <w:rPr>
          <w:lang w:val="fr-FR"/>
        </w:rPr>
        <w:t>’</w:t>
      </w:r>
      <w:r w:rsidRPr="00D07C7C">
        <w:rPr>
          <w:lang w:val="fr-FR"/>
        </w:rPr>
        <w:t xml:space="preserve">ensemble des informations disponibles et de tenir compte de la situation de tension et de stress à laquelle les agents de police avaient été soumis depuis quarante-huit heures (voir, </w:t>
      </w:r>
      <w:r w:rsidRPr="00D07C7C">
        <w:rPr>
          <w:i/>
          <w:lang w:val="fr-FR"/>
        </w:rPr>
        <w:t>mutatis mutandis</w:t>
      </w:r>
      <w:r w:rsidRPr="00D07C7C">
        <w:rPr>
          <w:lang w:val="fr-FR"/>
        </w:rPr>
        <w:t xml:space="preserve">, </w:t>
      </w:r>
      <w:r w:rsidRPr="00D07C7C">
        <w:rPr>
          <w:i/>
          <w:lang w:val="fr-FR"/>
        </w:rPr>
        <w:t>Egmez</w:t>
      </w:r>
      <w:r w:rsidRPr="00D07C7C">
        <w:rPr>
          <w:lang w:val="fr-FR"/>
        </w:rPr>
        <w:t>,</w:t>
      </w:r>
      <w:r w:rsidRPr="00D07C7C">
        <w:rPr>
          <w:i/>
          <w:lang w:val="fr-FR"/>
        </w:rPr>
        <w:t xml:space="preserve"> </w:t>
      </w:r>
      <w:r w:rsidRPr="00D07C7C">
        <w:rPr>
          <w:lang w:val="fr-FR"/>
        </w:rPr>
        <w:t>§ 78, précité). La Cour souligne en particulier le fait que, malgré la présence à Gênes de fonctionnaires expérimentés faisant partie de la haute hiérarchie policière, aucune directive spécifique sur l</w:t>
      </w:r>
      <w:r w:rsidR="00D07C7C" w:rsidRPr="00D07C7C">
        <w:rPr>
          <w:lang w:val="fr-FR"/>
        </w:rPr>
        <w:t>’</w:t>
      </w:r>
      <w:r w:rsidRPr="00D07C7C">
        <w:rPr>
          <w:lang w:val="fr-FR"/>
        </w:rPr>
        <w:t>utilisation de la force n</w:t>
      </w:r>
      <w:r w:rsidR="00D07C7C" w:rsidRPr="00D07C7C">
        <w:rPr>
          <w:lang w:val="fr-FR"/>
        </w:rPr>
        <w:t>’</w:t>
      </w:r>
      <w:r w:rsidRPr="00D07C7C">
        <w:rPr>
          <w:lang w:val="fr-FR"/>
        </w:rPr>
        <w:t>a été émise et qu</w:t>
      </w:r>
      <w:r w:rsidR="00D07C7C" w:rsidRPr="00D07C7C">
        <w:rPr>
          <w:lang w:val="fr-FR"/>
        </w:rPr>
        <w:t>’</w:t>
      </w:r>
      <w:r w:rsidRPr="00D07C7C">
        <w:rPr>
          <w:lang w:val="fr-FR"/>
        </w:rPr>
        <w:t>aucune consigne n</w:t>
      </w:r>
      <w:r w:rsidR="00D07C7C" w:rsidRPr="00D07C7C">
        <w:rPr>
          <w:lang w:val="fr-FR"/>
        </w:rPr>
        <w:t>’</w:t>
      </w:r>
      <w:r w:rsidRPr="00D07C7C">
        <w:rPr>
          <w:lang w:val="fr-FR"/>
        </w:rPr>
        <w:t xml:space="preserve">a été donnée aux agents sur cet aspect décisif (voir, pour le même constat, </w:t>
      </w:r>
      <w:r w:rsidRPr="00D07C7C">
        <w:rPr>
          <w:i/>
          <w:lang w:val="fr-FR"/>
        </w:rPr>
        <w:t>Cestaro</w:t>
      </w:r>
      <w:r w:rsidRPr="00D07C7C">
        <w:rPr>
          <w:lang w:val="fr-FR"/>
        </w:rPr>
        <w:t>, § 182, précité).</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117</w:t>
      </w:r>
      <w:r w:rsidRPr="00D07C7C">
        <w:rPr>
          <w:lang w:val="fr-FR"/>
        </w:rPr>
        <w:fldChar w:fldCharType="end"/>
      </w:r>
      <w:r w:rsidRPr="00D07C7C">
        <w:rPr>
          <w:lang w:val="fr-FR"/>
        </w:rPr>
        <w:t>.  En ce qui concerne les actes de violence subis par les requérants, la Cour tient à souligner que les agressions infligées à chaque individu l</w:t>
      </w:r>
      <w:r w:rsidR="00D07C7C" w:rsidRPr="00D07C7C">
        <w:rPr>
          <w:lang w:val="fr-FR"/>
        </w:rPr>
        <w:t>’</w:t>
      </w:r>
      <w:r w:rsidRPr="00D07C7C">
        <w:rPr>
          <w:lang w:val="fr-FR"/>
        </w:rPr>
        <w:t>ont été dans un contexte général d</w:t>
      </w:r>
      <w:r w:rsidR="00D07C7C" w:rsidRPr="00D07C7C">
        <w:rPr>
          <w:lang w:val="fr-FR"/>
        </w:rPr>
        <w:t>’</w:t>
      </w:r>
      <w:r w:rsidRPr="00D07C7C">
        <w:rPr>
          <w:lang w:val="fr-FR"/>
        </w:rPr>
        <w:t>emploi excessif, indiscriminé et manifestement disproportionnée de la force. En effet, les requérants ont été à la fois victimes et témoins d</w:t>
      </w:r>
      <w:r w:rsidR="00D07C7C" w:rsidRPr="00D07C7C">
        <w:rPr>
          <w:lang w:val="fr-FR"/>
        </w:rPr>
        <w:t>’</w:t>
      </w:r>
      <w:r w:rsidRPr="00D07C7C">
        <w:rPr>
          <w:lang w:val="fr-FR"/>
        </w:rPr>
        <w:t>une utilisation incontrôlée de la violence par la police, les agents passant à tabac de manière systématique chacun des occupants, y compris ceux allongés par terre ou assis mains en l</w:t>
      </w:r>
      <w:r w:rsidR="00D07C7C" w:rsidRPr="00D07C7C">
        <w:rPr>
          <w:lang w:val="fr-FR"/>
        </w:rPr>
        <w:t>’</w:t>
      </w:r>
      <w:r w:rsidRPr="00D07C7C">
        <w:rPr>
          <w:lang w:val="fr-FR"/>
        </w:rPr>
        <w:t xml:space="preserve">air (paragraphe </w:t>
      </w:r>
      <w:r w:rsidRPr="00D07C7C">
        <w:rPr>
          <w:lang w:val="fr-FR"/>
        </w:rPr>
        <w:fldChar w:fldCharType="begin"/>
      </w:r>
      <w:r w:rsidRPr="00D07C7C">
        <w:rPr>
          <w:lang w:val="fr-FR"/>
        </w:rPr>
        <w:instrText xml:space="preserve"> REF VIOLENCES_COMMISES_JUGES_AU_FOND \h  \* MERGEFORMAT </w:instrText>
      </w:r>
      <w:r w:rsidRPr="00D07C7C">
        <w:rPr>
          <w:lang w:val="fr-FR"/>
        </w:rPr>
      </w:r>
      <w:r w:rsidRPr="00D07C7C">
        <w:rPr>
          <w:lang w:val="fr-FR"/>
        </w:rPr>
        <w:fldChar w:fldCharType="separate"/>
      </w:r>
      <w:r w:rsidR="00D07C7C" w:rsidRPr="00D07C7C">
        <w:rPr>
          <w:noProof/>
          <w:lang w:val="fr-FR"/>
        </w:rPr>
        <w:t>15</w:t>
      </w:r>
      <w:r w:rsidRPr="00D07C7C">
        <w:rPr>
          <w:lang w:val="fr-FR"/>
        </w:rPr>
        <w:fldChar w:fldCharType="end"/>
      </w:r>
      <w:r w:rsidRPr="00D07C7C">
        <w:rPr>
          <w:lang w:val="fr-FR"/>
        </w:rPr>
        <w:t xml:space="preserve"> ci-dessus). La Cour rappelle à cet égard que les occupants de l</w:t>
      </w:r>
      <w:r w:rsidR="00D07C7C" w:rsidRPr="00D07C7C">
        <w:rPr>
          <w:lang w:val="fr-FR"/>
        </w:rPr>
        <w:t>’</w:t>
      </w:r>
      <w:r w:rsidRPr="00D07C7C">
        <w:rPr>
          <w:lang w:val="fr-FR"/>
        </w:rPr>
        <w:t>école n</w:t>
      </w:r>
      <w:r w:rsidR="00D07C7C" w:rsidRPr="00D07C7C">
        <w:rPr>
          <w:lang w:val="fr-FR"/>
        </w:rPr>
        <w:t>’</w:t>
      </w:r>
      <w:r w:rsidRPr="00D07C7C">
        <w:rPr>
          <w:lang w:val="fr-FR"/>
        </w:rPr>
        <w:t>ont commis aucun acte de violence ni de résistance à l</w:t>
      </w:r>
      <w:r w:rsidR="00D07C7C" w:rsidRPr="00D07C7C">
        <w:rPr>
          <w:lang w:val="fr-FR"/>
        </w:rPr>
        <w:t>’</w:t>
      </w:r>
      <w:r w:rsidRPr="00D07C7C">
        <w:rPr>
          <w:lang w:val="fr-FR"/>
        </w:rPr>
        <w:t>encontre des forces de l</w:t>
      </w:r>
      <w:r w:rsidR="00D07C7C" w:rsidRPr="00D07C7C">
        <w:rPr>
          <w:lang w:val="fr-FR"/>
        </w:rPr>
        <w:t>’</w:t>
      </w:r>
      <w:r w:rsidRPr="00D07C7C">
        <w:rPr>
          <w:lang w:val="fr-FR"/>
        </w:rPr>
        <w:t>ordre.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118</w:t>
      </w:r>
      <w:r w:rsidRPr="00D07C7C">
        <w:rPr>
          <w:lang w:val="fr-FR"/>
        </w:rPr>
        <w:fldChar w:fldCharType="end"/>
      </w:r>
      <w:r w:rsidRPr="00D07C7C">
        <w:rPr>
          <w:lang w:val="fr-FR"/>
        </w:rPr>
        <w:t>.  S</w:t>
      </w:r>
      <w:r w:rsidR="00D07C7C" w:rsidRPr="00D07C7C">
        <w:rPr>
          <w:lang w:val="fr-FR"/>
        </w:rPr>
        <w:t>’</w:t>
      </w:r>
      <w:r w:rsidRPr="00D07C7C">
        <w:rPr>
          <w:lang w:val="fr-FR"/>
        </w:rPr>
        <w:t xml:space="preserve">agissant des récits individuels, la Cour ne peut que constater la gravité des faits décrits par les requérants et confirmés par les tribunaux nationaux. Chaque requérant a été frappé de manière violente, la plupart a reçu des coups de matraque, des coups de pied et des coups de poing et, dans certains cas, du mobilier a été jeté sur eux. Les coups reçus ont provoqué des hématomes, des blessures et, dans certains cas, des fractures sérieuses laissant des séquelles physiques permanentes (paragraphes </w:t>
      </w:r>
      <w:r w:rsidRPr="00D07C7C">
        <w:rPr>
          <w:lang w:val="fr-FR"/>
        </w:rPr>
        <w:fldChar w:fldCharType="begin"/>
      </w:r>
      <w:r w:rsidRPr="00D07C7C">
        <w:rPr>
          <w:lang w:val="fr-FR"/>
        </w:rPr>
        <w:instrText xml:space="preserve"> REF DEBUT_RECITS_INDIVIDUELS \h  \* MERGEFORMAT </w:instrText>
      </w:r>
      <w:r w:rsidRPr="00D07C7C">
        <w:rPr>
          <w:lang w:val="fr-FR"/>
        </w:rPr>
      </w:r>
      <w:r w:rsidRPr="00D07C7C">
        <w:rPr>
          <w:lang w:val="fr-FR"/>
        </w:rPr>
        <w:fldChar w:fldCharType="separate"/>
      </w:r>
      <w:r w:rsidR="00D07C7C" w:rsidRPr="00D07C7C">
        <w:rPr>
          <w:noProof/>
          <w:lang w:val="fr-FR"/>
        </w:rPr>
        <w:t>17</w:t>
      </w:r>
      <w:r w:rsidRPr="00D07C7C">
        <w:rPr>
          <w:lang w:val="fr-FR"/>
        </w:rPr>
        <w:fldChar w:fldCharType="end"/>
      </w:r>
      <w:r w:rsidRPr="00D07C7C">
        <w:rPr>
          <w:lang w:val="fr-FR"/>
        </w:rPr>
        <w:t xml:space="preserve"> à </w:t>
      </w:r>
      <w:r w:rsidRPr="00D07C7C">
        <w:rPr>
          <w:lang w:val="fr-FR"/>
        </w:rPr>
        <w:fldChar w:fldCharType="begin"/>
      </w:r>
      <w:r w:rsidRPr="00D07C7C">
        <w:rPr>
          <w:lang w:val="fr-FR"/>
        </w:rPr>
        <w:instrText xml:space="preserve"> REF FIN_RECITS_INDIVIDUELS \h  \* MERGEFORMAT </w:instrText>
      </w:r>
      <w:r w:rsidRPr="00D07C7C">
        <w:rPr>
          <w:lang w:val="fr-FR"/>
        </w:rPr>
      </w:r>
      <w:r w:rsidRPr="00D07C7C">
        <w:rPr>
          <w:lang w:val="fr-FR"/>
        </w:rPr>
        <w:fldChar w:fldCharType="separate"/>
      </w:r>
      <w:r w:rsidR="00D07C7C" w:rsidRPr="00D07C7C">
        <w:rPr>
          <w:noProof/>
          <w:lang w:val="fr-FR"/>
        </w:rPr>
        <w:t>58</w:t>
      </w:r>
      <w:r w:rsidRPr="00D07C7C">
        <w:rPr>
          <w:lang w:val="fr-FR"/>
        </w:rPr>
        <w:fldChar w:fldCharType="end"/>
      </w:r>
      <w:r w:rsidRPr="00D07C7C">
        <w:rPr>
          <w:lang w:val="fr-FR"/>
        </w:rPr>
        <w:t xml:space="preserve"> ci-dessus).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119</w:t>
      </w:r>
      <w:r w:rsidRPr="00D07C7C">
        <w:rPr>
          <w:lang w:val="fr-FR"/>
        </w:rPr>
        <w:fldChar w:fldCharType="end"/>
      </w:r>
      <w:r w:rsidRPr="00D07C7C">
        <w:rPr>
          <w:lang w:val="fr-FR"/>
        </w:rPr>
        <w:t>.  Eu égard à l</w:t>
      </w:r>
      <w:r w:rsidR="00D07C7C" w:rsidRPr="00D07C7C">
        <w:rPr>
          <w:lang w:val="fr-FR"/>
        </w:rPr>
        <w:t>’</w:t>
      </w:r>
      <w:r w:rsidRPr="00D07C7C">
        <w:rPr>
          <w:lang w:val="fr-FR"/>
        </w:rPr>
        <w:t>ensemble des éléments exposés ci-dessus, la Cour est convaincue que les actes de violence commis à l</w:t>
      </w:r>
      <w:r w:rsidR="00D07C7C" w:rsidRPr="00D07C7C">
        <w:rPr>
          <w:lang w:val="fr-FR"/>
        </w:rPr>
        <w:t>’</w:t>
      </w:r>
      <w:r w:rsidRPr="00D07C7C">
        <w:rPr>
          <w:lang w:val="fr-FR"/>
        </w:rPr>
        <w:t>encontre des requérants ont provoqué des souffrances physiques et psychologiques « aiguës », et qu</w:t>
      </w:r>
      <w:r w:rsidR="00D07C7C" w:rsidRPr="00D07C7C">
        <w:rPr>
          <w:lang w:val="fr-FR"/>
        </w:rPr>
        <w:t>’</w:t>
      </w:r>
      <w:r w:rsidRPr="00D07C7C">
        <w:rPr>
          <w:lang w:val="fr-FR"/>
        </w:rPr>
        <w:t>ils revêtaient un caractère particulièrement grave et cruel (</w:t>
      </w:r>
      <w:r w:rsidRPr="00D07C7C">
        <w:rPr>
          <w:i/>
          <w:lang w:val="fr-FR"/>
        </w:rPr>
        <w:t>Cestaro</w:t>
      </w:r>
      <w:r w:rsidR="00D07C7C" w:rsidRPr="00D07C7C">
        <w:rPr>
          <w:lang w:val="fr-FR"/>
        </w:rPr>
        <w:t>, précité, §§ 177</w:t>
      </w:r>
      <w:r w:rsidR="00D07C7C" w:rsidRPr="00D07C7C">
        <w:rPr>
          <w:lang w:val="fr-FR"/>
        </w:rPr>
        <w:noBreakHyphen/>
      </w:r>
      <w:r w:rsidRPr="00D07C7C">
        <w:rPr>
          <w:lang w:val="fr-FR"/>
        </w:rPr>
        <w:t>190).</w:t>
      </w:r>
    </w:p>
    <w:bookmarkStart w:id="15" w:name="CONCLUSION_TORTURE"/>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120</w:t>
      </w:r>
      <w:r w:rsidRPr="00D07C7C">
        <w:rPr>
          <w:lang w:val="fr-FR"/>
        </w:rPr>
        <w:fldChar w:fldCharType="end"/>
      </w:r>
      <w:bookmarkEnd w:id="15"/>
      <w:r w:rsidRPr="00D07C7C">
        <w:rPr>
          <w:lang w:val="fr-FR"/>
        </w:rPr>
        <w:t>.  Dès lors, la Cour conclut que les traitements subis par les requérants à l</w:t>
      </w:r>
      <w:r w:rsidR="00D07C7C" w:rsidRPr="00D07C7C">
        <w:rPr>
          <w:lang w:val="fr-FR"/>
        </w:rPr>
        <w:t>’</w:t>
      </w:r>
      <w:r w:rsidRPr="00D07C7C">
        <w:rPr>
          <w:lang w:val="fr-FR"/>
        </w:rPr>
        <w:t>intérieur de l</w:t>
      </w:r>
      <w:r w:rsidR="00D07C7C" w:rsidRPr="00D07C7C">
        <w:rPr>
          <w:lang w:val="fr-FR"/>
        </w:rPr>
        <w:t>’</w:t>
      </w:r>
      <w:r w:rsidRPr="00D07C7C">
        <w:rPr>
          <w:lang w:val="fr-FR"/>
        </w:rPr>
        <w:t>école Diaz-Pertini doivent être regardés comme des actes de torture. Partant, il y a eu violation de l</w:t>
      </w:r>
      <w:r w:rsidR="00D07C7C" w:rsidRPr="00D07C7C">
        <w:rPr>
          <w:lang w:val="fr-FR"/>
        </w:rPr>
        <w:t>’</w:t>
      </w:r>
      <w:r w:rsidRPr="00D07C7C">
        <w:rPr>
          <w:lang w:val="fr-FR"/>
        </w:rPr>
        <w:t>article 3 de la Convention sous son volet matériel.</w:t>
      </w:r>
    </w:p>
    <w:p w:rsidR="00FE73C2" w:rsidRPr="00D07C7C" w:rsidRDefault="00FE73C2" w:rsidP="00D07C7C">
      <w:pPr>
        <w:pStyle w:val="ECHRHeading5"/>
        <w:rPr>
          <w:lang w:val="fr-FR"/>
        </w:rPr>
      </w:pPr>
      <w:r w:rsidRPr="00D07C7C">
        <w:rPr>
          <w:rFonts w:cstheme="majorHAnsi"/>
          <w:lang w:val="fr-FR"/>
        </w:rPr>
        <w:lastRenderedPageBreak/>
        <w:t>ii</w:t>
      </w:r>
      <w:r w:rsidRPr="00D07C7C">
        <w:rPr>
          <w:lang w:val="fr-FR"/>
        </w:rPr>
        <w:t>.  Sur le volet procédural de l</w:t>
      </w:r>
      <w:r w:rsidR="00D07C7C" w:rsidRPr="00D07C7C">
        <w:rPr>
          <w:lang w:val="fr-FR"/>
        </w:rPr>
        <w:t>’</w:t>
      </w:r>
      <w:r w:rsidRPr="00D07C7C">
        <w:rPr>
          <w:lang w:val="fr-FR"/>
        </w:rPr>
        <w:t>article 3 de la Convention</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121</w:t>
      </w:r>
      <w:r w:rsidRPr="00D07C7C">
        <w:rPr>
          <w:lang w:val="fr-FR"/>
        </w:rPr>
        <w:fldChar w:fldCharType="end"/>
      </w:r>
      <w:r w:rsidRPr="00D07C7C">
        <w:rPr>
          <w:lang w:val="fr-FR"/>
        </w:rPr>
        <w:t>.  La Cour observe que la même procédure interne est à l</w:t>
      </w:r>
      <w:r w:rsidR="00D07C7C" w:rsidRPr="00D07C7C">
        <w:rPr>
          <w:lang w:val="fr-FR"/>
        </w:rPr>
        <w:t>’</w:t>
      </w:r>
      <w:r w:rsidRPr="00D07C7C">
        <w:rPr>
          <w:lang w:val="fr-FR"/>
        </w:rPr>
        <w:t>origine du constat de violation du volet procédural de l</w:t>
      </w:r>
      <w:r w:rsidR="00D07C7C" w:rsidRPr="00D07C7C">
        <w:rPr>
          <w:lang w:val="fr-FR"/>
        </w:rPr>
        <w:t>’</w:t>
      </w:r>
      <w:r w:rsidRPr="00D07C7C">
        <w:rPr>
          <w:lang w:val="fr-FR"/>
        </w:rPr>
        <w:t>article 3 de la Convention dans l</w:t>
      </w:r>
      <w:r w:rsidR="00D07C7C" w:rsidRPr="00D07C7C">
        <w:rPr>
          <w:lang w:val="fr-FR"/>
        </w:rPr>
        <w:t>’</w:t>
      </w:r>
      <w:r w:rsidRPr="00D07C7C">
        <w:rPr>
          <w:lang w:val="fr-FR"/>
        </w:rPr>
        <w:t xml:space="preserve">affaire </w:t>
      </w:r>
      <w:r w:rsidRPr="00D07C7C">
        <w:rPr>
          <w:i/>
          <w:lang w:val="fr-FR"/>
        </w:rPr>
        <w:t>Cestaro</w:t>
      </w:r>
      <w:r w:rsidRPr="00D07C7C">
        <w:rPr>
          <w:lang w:val="fr-FR"/>
        </w:rPr>
        <w:t xml:space="preserve"> (précité §§ 204-236). Dès lors, elle ne voit pas de motif de s</w:t>
      </w:r>
      <w:r w:rsidR="00D07C7C" w:rsidRPr="00D07C7C">
        <w:rPr>
          <w:lang w:val="fr-FR"/>
        </w:rPr>
        <w:t>’</w:t>
      </w:r>
      <w:r w:rsidRPr="00D07C7C">
        <w:rPr>
          <w:lang w:val="fr-FR"/>
        </w:rPr>
        <w:t>écarter des conclusions auxquelles elle est parvenue dans ladite affaire, y compris pour ce qui est de l</w:t>
      </w:r>
      <w:r w:rsidR="00D07C7C" w:rsidRPr="00D07C7C">
        <w:rPr>
          <w:lang w:val="fr-FR"/>
        </w:rPr>
        <w:t>’</w:t>
      </w:r>
      <w:r w:rsidRPr="00D07C7C">
        <w:rPr>
          <w:lang w:val="fr-FR"/>
        </w:rPr>
        <w:t>insuffisance de l</w:t>
      </w:r>
      <w:r w:rsidR="00D07C7C" w:rsidRPr="00D07C7C">
        <w:rPr>
          <w:lang w:val="fr-FR"/>
        </w:rPr>
        <w:t>’</w:t>
      </w:r>
      <w:r w:rsidRPr="00D07C7C">
        <w:rPr>
          <w:lang w:val="fr-FR"/>
        </w:rPr>
        <w:t>ordre juridique italien concernant la répression de la torture, et conclut à la violation de l</w:t>
      </w:r>
      <w:r w:rsidR="00D07C7C" w:rsidRPr="00D07C7C">
        <w:rPr>
          <w:lang w:val="fr-FR"/>
        </w:rPr>
        <w:t>’</w:t>
      </w:r>
      <w:r w:rsidRPr="00D07C7C">
        <w:rPr>
          <w:lang w:val="fr-FR"/>
        </w:rPr>
        <w:t>article 3 de la Convention sous son volet procédural.</w:t>
      </w:r>
    </w:p>
    <w:p w:rsidR="00FE73C2" w:rsidRPr="00D07C7C" w:rsidRDefault="00FE73C2" w:rsidP="00D07C7C">
      <w:pPr>
        <w:pStyle w:val="ECHRHeading1"/>
        <w:rPr>
          <w:lang w:val="fr-FR"/>
        </w:rPr>
      </w:pPr>
      <w:r w:rsidRPr="00D07C7C">
        <w:rPr>
          <w:lang w:val="fr-FR"/>
        </w:rPr>
        <w:t>III.  SUR L</w:t>
      </w:r>
      <w:r w:rsidR="00D07C7C" w:rsidRPr="00D07C7C">
        <w:rPr>
          <w:lang w:val="fr-FR"/>
        </w:rPr>
        <w:t>’</w:t>
      </w:r>
      <w:r w:rsidRPr="00D07C7C">
        <w:rPr>
          <w:lang w:val="fr-FR"/>
        </w:rPr>
        <w:t>APPLICATION DE L</w:t>
      </w:r>
      <w:r w:rsidR="00D07C7C" w:rsidRPr="00D07C7C">
        <w:rPr>
          <w:lang w:val="fr-FR"/>
        </w:rPr>
        <w:t>’</w:t>
      </w:r>
      <w:r w:rsidRPr="00D07C7C">
        <w:rPr>
          <w:lang w:val="fr-FR"/>
        </w:rPr>
        <w:t>ARTICLE 41 DE LA CONVENTION</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122</w:t>
      </w:r>
      <w:r w:rsidRPr="00D07C7C">
        <w:rPr>
          <w:lang w:val="fr-FR"/>
        </w:rPr>
        <w:fldChar w:fldCharType="end"/>
      </w:r>
      <w:r w:rsidRPr="00D07C7C">
        <w:rPr>
          <w:lang w:val="fr-FR"/>
        </w:rPr>
        <w:t>.  Aux termes de l</w:t>
      </w:r>
      <w:r w:rsidR="00D07C7C" w:rsidRPr="00D07C7C">
        <w:rPr>
          <w:lang w:val="fr-FR"/>
        </w:rPr>
        <w:t>’</w:t>
      </w:r>
      <w:r w:rsidRPr="00D07C7C">
        <w:rPr>
          <w:lang w:val="fr-FR"/>
        </w:rPr>
        <w:t>article 41 de la Convention,</w:t>
      </w:r>
    </w:p>
    <w:p w:rsidR="00FE73C2" w:rsidRPr="00D07C7C" w:rsidRDefault="00FE73C2" w:rsidP="00D07C7C">
      <w:pPr>
        <w:pStyle w:val="ECHRParaQuote"/>
        <w:keepNext/>
        <w:keepLines/>
        <w:rPr>
          <w:lang w:val="fr-FR"/>
        </w:rPr>
      </w:pPr>
      <w:r w:rsidRPr="00D07C7C">
        <w:rPr>
          <w:lang w:val="fr-FR"/>
        </w:rPr>
        <w:t>« Si la Cour déclare qu</w:t>
      </w:r>
      <w:r w:rsidR="00D07C7C" w:rsidRPr="00D07C7C">
        <w:rPr>
          <w:lang w:val="fr-FR"/>
        </w:rPr>
        <w:t>’</w:t>
      </w:r>
      <w:r w:rsidRPr="00D07C7C">
        <w:rPr>
          <w:lang w:val="fr-FR"/>
        </w:rPr>
        <w:t>il y a eu violation de la Convention ou de ses Protocoles, et si le droit interne de la Haute Partie contractante ne permet d</w:t>
      </w:r>
      <w:r w:rsidR="00D07C7C" w:rsidRPr="00D07C7C">
        <w:rPr>
          <w:lang w:val="fr-FR"/>
        </w:rPr>
        <w:t>’</w:t>
      </w:r>
      <w:r w:rsidRPr="00D07C7C">
        <w:rPr>
          <w:lang w:val="fr-FR"/>
        </w:rPr>
        <w:t>effacer qu</w:t>
      </w:r>
      <w:r w:rsidR="00D07C7C" w:rsidRPr="00D07C7C">
        <w:rPr>
          <w:lang w:val="fr-FR"/>
        </w:rPr>
        <w:t>’</w:t>
      </w:r>
      <w:r w:rsidRPr="00D07C7C">
        <w:rPr>
          <w:lang w:val="fr-FR"/>
        </w:rPr>
        <w:t>imparfaitement les conséquences de cette violation, la Cour accorde à la partie lésée, s</w:t>
      </w:r>
      <w:r w:rsidR="00D07C7C" w:rsidRPr="00D07C7C">
        <w:rPr>
          <w:lang w:val="fr-FR"/>
        </w:rPr>
        <w:t>’</w:t>
      </w:r>
      <w:r w:rsidRPr="00D07C7C">
        <w:rPr>
          <w:lang w:val="fr-FR"/>
        </w:rPr>
        <w:t>il y a lieu, une satisfaction équitable. »</w:t>
      </w:r>
    </w:p>
    <w:p w:rsidR="00FE73C2" w:rsidRPr="00D07C7C" w:rsidRDefault="00FE73C2" w:rsidP="00D07C7C">
      <w:pPr>
        <w:pStyle w:val="ECHRHeading2"/>
        <w:rPr>
          <w:lang w:val="fr-FR"/>
        </w:rPr>
      </w:pPr>
      <w:r w:rsidRPr="00D07C7C">
        <w:rPr>
          <w:lang w:val="fr-FR"/>
        </w:rPr>
        <w:t>A.  Dommage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123</w:t>
      </w:r>
      <w:r w:rsidRPr="00D07C7C">
        <w:rPr>
          <w:lang w:val="fr-FR"/>
        </w:rPr>
        <w:fldChar w:fldCharType="end"/>
      </w:r>
      <w:r w:rsidRPr="00D07C7C">
        <w:rPr>
          <w:lang w:val="fr-FR"/>
        </w:rPr>
        <w:t>.  Les requérants de la requête n</w:t>
      </w:r>
      <w:r w:rsidRPr="00D07C7C">
        <w:rPr>
          <w:vertAlign w:val="superscript"/>
          <w:lang w:val="fr-FR"/>
        </w:rPr>
        <w:t>o</w:t>
      </w:r>
      <w:r w:rsidRPr="00D07C7C">
        <w:rPr>
          <w:lang w:val="fr-FR"/>
        </w:rPr>
        <w:t> 12131/13 réclament chacun 150</w:t>
      </w:r>
      <w:r w:rsidR="00D07C7C" w:rsidRPr="00D07C7C">
        <w:rPr>
          <w:lang w:val="fr-FR"/>
        </w:rPr>
        <w:t> 000 </w:t>
      </w:r>
      <w:r w:rsidRPr="00D07C7C">
        <w:rPr>
          <w:lang w:val="fr-FR"/>
        </w:rPr>
        <w:t>EUR pour préjudice moral tandis que les requérants de la requête n</w:t>
      </w:r>
      <w:r w:rsidRPr="00D07C7C">
        <w:rPr>
          <w:vertAlign w:val="superscript"/>
          <w:lang w:val="fr-FR"/>
        </w:rPr>
        <w:t>o</w:t>
      </w:r>
      <w:r w:rsidRPr="00D07C7C">
        <w:rPr>
          <w:lang w:val="fr-FR"/>
        </w:rPr>
        <w:t> 43390/13 (notamment les requérants figurant sous les numéros 2-5, 7, 10-12, 14-15, 17-18, 22-27, 30-31, 34-35 dans la liste de l</w:t>
      </w:r>
      <w:r w:rsidR="00D07C7C" w:rsidRPr="00D07C7C">
        <w:rPr>
          <w:lang w:val="fr-FR"/>
        </w:rPr>
        <w:t>’</w:t>
      </w:r>
      <w:r w:rsidRPr="00D07C7C">
        <w:rPr>
          <w:lang w:val="fr-FR"/>
        </w:rPr>
        <w:t>annexe I) s</w:t>
      </w:r>
      <w:r w:rsidR="00D07C7C" w:rsidRPr="00D07C7C">
        <w:rPr>
          <w:lang w:val="fr-FR"/>
        </w:rPr>
        <w:t>’</w:t>
      </w:r>
      <w:r w:rsidRPr="00D07C7C">
        <w:rPr>
          <w:lang w:val="fr-FR"/>
        </w:rPr>
        <w:t>en remettent à l</w:t>
      </w:r>
      <w:r w:rsidR="00D07C7C" w:rsidRPr="00D07C7C">
        <w:rPr>
          <w:lang w:val="fr-FR"/>
        </w:rPr>
        <w:t>’</w:t>
      </w:r>
      <w:r w:rsidRPr="00D07C7C">
        <w:rPr>
          <w:lang w:val="fr-FR"/>
        </w:rPr>
        <w:t>appréciation de la Cour.</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124</w:t>
      </w:r>
      <w:r w:rsidRPr="00D07C7C">
        <w:rPr>
          <w:lang w:val="fr-FR"/>
        </w:rPr>
        <w:fldChar w:fldCharType="end"/>
      </w:r>
      <w:r w:rsidRPr="00D07C7C">
        <w:rPr>
          <w:lang w:val="fr-FR"/>
        </w:rPr>
        <w:t>.  Le Gouvernement conteste ces prétentions et invite la Cour à tenir compte des sommes provisionnelles déjà versées aux requérants en tant que parties civiles à la procédure pénale.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125</w:t>
      </w:r>
      <w:r w:rsidRPr="00D07C7C">
        <w:rPr>
          <w:lang w:val="fr-FR"/>
        </w:rPr>
        <w:fldChar w:fldCharType="end"/>
      </w:r>
      <w:r w:rsidRPr="00D07C7C">
        <w:rPr>
          <w:lang w:val="fr-FR"/>
        </w:rPr>
        <w:t>.  La Cour prend note que, au niveau national, chaque requérant a obtenu le versement d</w:t>
      </w:r>
      <w:r w:rsidR="00D07C7C" w:rsidRPr="00D07C7C">
        <w:rPr>
          <w:lang w:val="fr-FR"/>
        </w:rPr>
        <w:t>’</w:t>
      </w:r>
      <w:r w:rsidRPr="00D07C7C">
        <w:rPr>
          <w:lang w:val="fr-FR"/>
        </w:rPr>
        <w:t>une somme provisionnelle indemnisant partiellement le préjudice moral. C</w:t>
      </w:r>
      <w:r w:rsidR="00D07C7C" w:rsidRPr="00D07C7C">
        <w:rPr>
          <w:lang w:val="fr-FR"/>
        </w:rPr>
        <w:t>’</w:t>
      </w:r>
      <w:r w:rsidRPr="00D07C7C">
        <w:rPr>
          <w:lang w:val="fr-FR"/>
        </w:rPr>
        <w:t>est pourquoi elle tiendra compte de ces provisions dans le calcul de la somme à accorder aux termes de l</w:t>
      </w:r>
      <w:r w:rsidR="00D07C7C" w:rsidRPr="00D07C7C">
        <w:rPr>
          <w:lang w:val="fr-FR"/>
        </w:rPr>
        <w:t>’</w:t>
      </w:r>
      <w:r w:rsidRPr="00D07C7C">
        <w:rPr>
          <w:lang w:val="fr-FR"/>
        </w:rPr>
        <w:t>article 41 de la Convention (</w:t>
      </w:r>
      <w:r w:rsidRPr="00D07C7C">
        <w:rPr>
          <w:i/>
          <w:lang w:val="fr-FR"/>
        </w:rPr>
        <w:t>Cestaro</w:t>
      </w:r>
      <w:r w:rsidRPr="00D07C7C">
        <w:rPr>
          <w:lang w:val="fr-FR"/>
        </w:rPr>
        <w:t>,</w:t>
      </w:r>
      <w:r w:rsidRPr="00D07C7C">
        <w:rPr>
          <w:i/>
          <w:lang w:val="fr-FR"/>
        </w:rPr>
        <w:t xml:space="preserve"> </w:t>
      </w:r>
      <w:r w:rsidRPr="00D07C7C">
        <w:rPr>
          <w:lang w:val="fr-FR"/>
        </w:rPr>
        <w:t>précité, § 251).</w:t>
      </w:r>
    </w:p>
    <w:p w:rsidR="00FE73C2" w:rsidRPr="00D07C7C" w:rsidRDefault="00FE73C2" w:rsidP="00D07C7C">
      <w:pPr>
        <w:pStyle w:val="ECHRPara"/>
        <w:rPr>
          <w:lang w:val="fr-FR"/>
        </w:rPr>
      </w:pPr>
      <w:r w:rsidRPr="00D07C7C">
        <w:fldChar w:fldCharType="begin"/>
      </w:r>
      <w:r w:rsidRPr="00D07C7C">
        <w:rPr>
          <w:lang w:val="fr-FR"/>
        </w:rPr>
        <w:instrText xml:space="preserve"> SEQ level0 \*arabic </w:instrText>
      </w:r>
      <w:r w:rsidRPr="00D07C7C">
        <w:fldChar w:fldCharType="separate"/>
      </w:r>
      <w:r w:rsidR="00D07C7C" w:rsidRPr="00D07C7C">
        <w:rPr>
          <w:noProof/>
          <w:lang w:val="fr-FR"/>
        </w:rPr>
        <w:t>126</w:t>
      </w:r>
      <w:r w:rsidRPr="00D07C7C">
        <w:fldChar w:fldCharType="end"/>
      </w:r>
      <w:r w:rsidRPr="00D07C7C">
        <w:rPr>
          <w:lang w:val="fr-FR"/>
        </w:rPr>
        <w:t>.  Au vu de la gravité des circonstances des présentes espèces et eu égard à sa conclusion de violation de l</w:t>
      </w:r>
      <w:r w:rsidR="00D07C7C" w:rsidRPr="00D07C7C">
        <w:rPr>
          <w:lang w:val="fr-FR"/>
        </w:rPr>
        <w:t>’</w:t>
      </w:r>
      <w:r w:rsidRPr="00D07C7C">
        <w:rPr>
          <w:lang w:val="fr-FR"/>
        </w:rPr>
        <w:t>article 3 de la Convention, tant sous son volet matériel que sous son volet procédural, à laquelle elle est parvenue, la Cour considère qu</w:t>
      </w:r>
      <w:r w:rsidR="00D07C7C" w:rsidRPr="00D07C7C">
        <w:rPr>
          <w:lang w:val="fr-FR"/>
        </w:rPr>
        <w:t>’</w:t>
      </w:r>
      <w:r w:rsidRPr="00D07C7C">
        <w:rPr>
          <w:lang w:val="fr-FR"/>
        </w:rPr>
        <w:t>il y a lieu d</w:t>
      </w:r>
      <w:r w:rsidR="00D07C7C" w:rsidRPr="00D07C7C">
        <w:rPr>
          <w:lang w:val="fr-FR"/>
        </w:rPr>
        <w:t>’</w:t>
      </w:r>
      <w:r w:rsidRPr="00D07C7C">
        <w:rPr>
          <w:lang w:val="fr-FR"/>
        </w:rPr>
        <w:t>accorder en équité à chaque requérant la somme de 45 000 EUR (quarante-cinq mille euros) à titre de dommage moral, à l</w:t>
      </w:r>
      <w:r w:rsidR="00D07C7C" w:rsidRPr="00D07C7C">
        <w:rPr>
          <w:lang w:val="fr-FR"/>
        </w:rPr>
        <w:t>’</w:t>
      </w:r>
      <w:r w:rsidRPr="00D07C7C">
        <w:rPr>
          <w:lang w:val="fr-FR"/>
        </w:rPr>
        <w:t xml:space="preserve">exception de deux requérantes, </w:t>
      </w:r>
      <w:r w:rsidRPr="00D07C7C">
        <w:rPr>
          <w:szCs w:val="24"/>
          <w:lang w:val="fr-FR"/>
        </w:rPr>
        <w:t>M</w:t>
      </w:r>
      <w:r w:rsidRPr="00D07C7C">
        <w:rPr>
          <w:szCs w:val="24"/>
          <w:vertAlign w:val="superscript"/>
          <w:lang w:val="fr-FR"/>
        </w:rPr>
        <w:t xml:space="preserve">mes </w:t>
      </w:r>
      <w:r w:rsidRPr="00D07C7C">
        <w:rPr>
          <w:szCs w:val="24"/>
          <w:lang w:val="fr-FR"/>
        </w:rPr>
        <w:t>A.J. Kutschkau et L. Zuhlke. À ces dernières, en raison de la gravité des séquelles physiques dont elles ont été victimes, la Cour décide d</w:t>
      </w:r>
      <w:r w:rsidR="00D07C7C" w:rsidRPr="00D07C7C">
        <w:rPr>
          <w:szCs w:val="24"/>
          <w:lang w:val="fr-FR"/>
        </w:rPr>
        <w:t>’</w:t>
      </w:r>
      <w:r w:rsidRPr="00D07C7C">
        <w:rPr>
          <w:szCs w:val="24"/>
          <w:lang w:val="fr-FR"/>
        </w:rPr>
        <w:t>accorder en équité à chacune la somme de 55 000 EUR (cinquante-cinq mille euros) à titre de dommage moral (</w:t>
      </w:r>
      <w:r w:rsidR="00D07C7C" w:rsidRPr="00D07C7C">
        <w:rPr>
          <w:rStyle w:val="CLLItalic"/>
        </w:rPr>
        <w:t>Batı et </w:t>
      </w:r>
      <w:r w:rsidRPr="00D07C7C">
        <w:rPr>
          <w:rStyle w:val="CLLItalic"/>
        </w:rPr>
        <w:t>autres c. Turquie</w:t>
      </w:r>
      <w:r w:rsidRPr="00D07C7C">
        <w:rPr>
          <w:lang w:val="fr-FR"/>
        </w:rPr>
        <w:t>, n</w:t>
      </w:r>
      <w:r w:rsidRPr="00D07C7C">
        <w:rPr>
          <w:rStyle w:val="CLLSuperscript"/>
        </w:rPr>
        <w:t>os</w:t>
      </w:r>
      <w:r w:rsidRPr="00D07C7C">
        <w:rPr>
          <w:lang w:val="fr-FR"/>
        </w:rPr>
        <w:t xml:space="preserve"> 33097/96 et 57834/00, § 168, CEDH 2004</w:t>
      </w:r>
      <w:r w:rsidRPr="00D07C7C">
        <w:rPr>
          <w:lang w:val="fr-FR"/>
        </w:rPr>
        <w:noBreakHyphen/>
        <w:t>IV (extraits)</w:t>
      </w:r>
      <w:r w:rsidRPr="00D07C7C">
        <w:rPr>
          <w:szCs w:val="24"/>
          <w:lang w:val="fr-FR"/>
        </w:rPr>
        <w:t>.</w:t>
      </w:r>
    </w:p>
    <w:p w:rsidR="00FE73C2" w:rsidRPr="00D07C7C" w:rsidRDefault="00FE73C2" w:rsidP="00D07C7C">
      <w:pPr>
        <w:pStyle w:val="ECHRHeading2"/>
        <w:rPr>
          <w:lang w:val="fr-FR"/>
        </w:rPr>
      </w:pPr>
      <w:r w:rsidRPr="00D07C7C">
        <w:rPr>
          <w:lang w:val="fr-FR"/>
        </w:rPr>
        <w:lastRenderedPageBreak/>
        <w:t>B.  Frais et dépens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127</w:t>
      </w:r>
      <w:r w:rsidRPr="00D07C7C">
        <w:rPr>
          <w:lang w:val="fr-FR"/>
        </w:rPr>
        <w:fldChar w:fldCharType="end"/>
      </w:r>
      <w:r w:rsidRPr="00D07C7C">
        <w:rPr>
          <w:lang w:val="fr-FR"/>
        </w:rPr>
        <w:t>.  Les requérants de la requête n</w:t>
      </w:r>
      <w:r w:rsidRPr="00D07C7C">
        <w:rPr>
          <w:vertAlign w:val="superscript"/>
          <w:lang w:val="fr-FR"/>
        </w:rPr>
        <w:t>o</w:t>
      </w:r>
      <w:r w:rsidRPr="00D07C7C">
        <w:rPr>
          <w:lang w:val="fr-FR"/>
        </w:rPr>
        <w:t> 12131/13 n</w:t>
      </w:r>
      <w:r w:rsidR="00D07C7C" w:rsidRPr="00D07C7C">
        <w:rPr>
          <w:lang w:val="fr-FR"/>
        </w:rPr>
        <w:t>’</w:t>
      </w:r>
      <w:r w:rsidRPr="00D07C7C">
        <w:rPr>
          <w:lang w:val="fr-FR"/>
        </w:rPr>
        <w:t>ont formulé aucune demande de remboursement des frais et dépens engagés pour la procédure devant la Cour. La Cour estime dès lors qu</w:t>
      </w:r>
      <w:r w:rsidR="00D07C7C" w:rsidRPr="00D07C7C">
        <w:rPr>
          <w:lang w:val="fr-FR"/>
        </w:rPr>
        <w:t>’</w:t>
      </w:r>
      <w:r w:rsidRPr="00D07C7C">
        <w:rPr>
          <w:lang w:val="fr-FR"/>
        </w:rPr>
        <w:t>il n</w:t>
      </w:r>
      <w:r w:rsidR="00D07C7C" w:rsidRPr="00D07C7C">
        <w:rPr>
          <w:lang w:val="fr-FR"/>
        </w:rPr>
        <w:t>’</w:t>
      </w:r>
      <w:r w:rsidRPr="00D07C7C">
        <w:rPr>
          <w:lang w:val="fr-FR"/>
        </w:rPr>
        <w:t>y a pas lieu de leur accorder une somme à ce titre.</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128</w:t>
      </w:r>
      <w:r w:rsidRPr="00D07C7C">
        <w:rPr>
          <w:lang w:val="fr-FR"/>
        </w:rPr>
        <w:fldChar w:fldCharType="end"/>
      </w:r>
      <w:r w:rsidRPr="00D07C7C">
        <w:rPr>
          <w:lang w:val="fr-FR"/>
        </w:rPr>
        <w:t>.  En ce qui concerne la requête n</w:t>
      </w:r>
      <w:r w:rsidRPr="00D07C7C">
        <w:rPr>
          <w:vertAlign w:val="superscript"/>
          <w:lang w:val="fr-FR"/>
        </w:rPr>
        <w:t>o</w:t>
      </w:r>
      <w:r w:rsidRPr="00D07C7C">
        <w:rPr>
          <w:lang w:val="fr-FR"/>
        </w:rPr>
        <w:t xml:space="preserve"> 43930/13, les requérants sollicitent 95 808,69 EUR en remboursement des frais et dépens engagés devant la Cour. Ils produisent des notes d</w:t>
      </w:r>
      <w:r w:rsidR="00D07C7C" w:rsidRPr="00D07C7C">
        <w:rPr>
          <w:lang w:val="fr-FR"/>
        </w:rPr>
        <w:t>’</w:t>
      </w:r>
      <w:r w:rsidRPr="00D07C7C">
        <w:rPr>
          <w:lang w:val="fr-FR"/>
        </w:rPr>
        <w:t>honoraires des différents avocats les ayant assistés. En particulier, ils distinguent les frais et dépens de M</w:t>
      </w:r>
      <w:r w:rsidRPr="00D07C7C">
        <w:rPr>
          <w:vertAlign w:val="superscript"/>
          <w:lang w:val="fr-FR"/>
        </w:rPr>
        <w:t xml:space="preserve">es </w:t>
      </w:r>
      <w:r w:rsidRPr="00D07C7C">
        <w:rPr>
          <w:lang w:val="fr-FR"/>
        </w:rPr>
        <w:t>V. Onida et B. Randazzo, se rapportant au travail de rédaction de la requête introduite pour tous les requérants, de ceux relatifs au travail de collecte d</w:t>
      </w:r>
      <w:r w:rsidR="00D07C7C" w:rsidRPr="00D07C7C">
        <w:rPr>
          <w:lang w:val="fr-FR"/>
        </w:rPr>
        <w:t>’</w:t>
      </w:r>
      <w:r w:rsidRPr="00D07C7C">
        <w:rPr>
          <w:lang w:val="fr-FR"/>
        </w:rPr>
        <w:t>informations effectué par les autres avocats ayant assisté un ou plusieurs requérants.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129</w:t>
      </w:r>
      <w:r w:rsidRPr="00D07C7C">
        <w:rPr>
          <w:lang w:val="fr-FR"/>
        </w:rPr>
        <w:fldChar w:fldCharType="end"/>
      </w:r>
      <w:r w:rsidRPr="00D07C7C">
        <w:rPr>
          <w:lang w:val="fr-FR"/>
        </w:rPr>
        <w:t>.  Le Gouvernement ne conteste pas ces prétentions.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130</w:t>
      </w:r>
      <w:r w:rsidRPr="00D07C7C">
        <w:rPr>
          <w:lang w:val="fr-FR"/>
        </w:rPr>
        <w:fldChar w:fldCharType="end"/>
      </w:r>
      <w:r w:rsidRPr="00D07C7C">
        <w:rPr>
          <w:lang w:val="fr-FR"/>
        </w:rPr>
        <w:t>.  Selon la jurisprudence de la Cour, un requérant ne peut obtenir le remboursement de ses frais et dépens que dans la mesure où se trouvent établis leur réalité, leur nécessité et le caractère raisonnable de leur taux (</w:t>
      </w:r>
      <w:r w:rsidR="00D07C7C" w:rsidRPr="00D07C7C">
        <w:rPr>
          <w:i/>
          <w:lang w:val="fr-FR"/>
        </w:rPr>
        <w:t>Nikolova c. </w:t>
      </w:r>
      <w:r w:rsidRPr="00D07C7C">
        <w:rPr>
          <w:i/>
          <w:lang w:val="fr-FR"/>
        </w:rPr>
        <w:t>Bulgarie</w:t>
      </w:r>
      <w:r w:rsidRPr="00D07C7C">
        <w:rPr>
          <w:lang w:val="fr-FR"/>
        </w:rPr>
        <w:t xml:space="preserve"> [GC], n</w:t>
      </w:r>
      <w:r w:rsidRPr="00D07C7C">
        <w:rPr>
          <w:vertAlign w:val="superscript"/>
          <w:lang w:val="fr-FR"/>
        </w:rPr>
        <w:t>o</w:t>
      </w:r>
      <w:r w:rsidRPr="00D07C7C">
        <w:rPr>
          <w:lang w:val="fr-FR"/>
        </w:rPr>
        <w:t xml:space="preserve"> 31195/96, § 79, CEDH 1999</w:t>
      </w:r>
      <w:r w:rsidRPr="00D07C7C">
        <w:rPr>
          <w:lang w:val="fr-FR"/>
        </w:rPr>
        <w:noBreakHyphen/>
        <w:t>II).</w:t>
      </w:r>
    </w:p>
    <w:bookmarkStart w:id="16" w:name="EXCLUSION_FRAIS_DEPENS"/>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131</w:t>
      </w:r>
      <w:r w:rsidRPr="00D07C7C">
        <w:rPr>
          <w:lang w:val="fr-FR"/>
        </w:rPr>
        <w:fldChar w:fldCharType="end"/>
      </w:r>
      <w:bookmarkEnd w:id="16"/>
      <w:r w:rsidRPr="00D07C7C">
        <w:rPr>
          <w:lang w:val="fr-FR"/>
        </w:rPr>
        <w:t xml:space="preserve">.  Dans les présentes causes, compte tenu des documents dont elle dispose et de sa jurisprudence, la Cour estime en principe raisonnable la somme demandée pour la procédure devant elle. Elle constate cependant que certains des requérants ont accepté la proposition de règlement amiable présentée par le Gouvernement défendeur (paragraphe </w:t>
      </w:r>
      <w:r w:rsidRPr="00D07C7C">
        <w:rPr>
          <w:lang w:val="fr-FR"/>
        </w:rPr>
        <w:fldChar w:fldCharType="begin"/>
      </w:r>
      <w:r w:rsidRPr="00D07C7C">
        <w:rPr>
          <w:lang w:val="fr-FR"/>
        </w:rPr>
        <w:instrText xml:space="preserve"> REF ACCEPTATION_REGLEMENT_AMIABLE \h  \* MERGEFORMAT </w:instrText>
      </w:r>
      <w:r w:rsidRPr="00D07C7C">
        <w:rPr>
          <w:lang w:val="fr-FR"/>
        </w:rPr>
      </w:r>
      <w:r w:rsidRPr="00D07C7C">
        <w:rPr>
          <w:lang w:val="fr-FR"/>
        </w:rPr>
        <w:fldChar w:fldCharType="separate"/>
      </w:r>
      <w:r w:rsidR="00D07C7C" w:rsidRPr="00D07C7C">
        <w:rPr>
          <w:noProof/>
          <w:lang w:val="fr-FR"/>
        </w:rPr>
        <w:t>94</w:t>
      </w:r>
      <w:r w:rsidRPr="00D07C7C">
        <w:rPr>
          <w:lang w:val="fr-FR"/>
        </w:rPr>
        <w:fldChar w:fldCharType="end"/>
      </w:r>
      <w:r w:rsidRPr="00D07C7C">
        <w:rPr>
          <w:lang w:val="fr-FR"/>
        </w:rPr>
        <w:t xml:space="preserve"> ci-dessus). Le texte de la déclaration, formulée de manière identique pour chaque requérant concerné, est ainsi libellé en sa partie ici pertinente :</w:t>
      </w:r>
    </w:p>
    <w:p w:rsidR="00FE73C2" w:rsidRPr="00D07C7C" w:rsidRDefault="00FE73C2" w:rsidP="00D07C7C">
      <w:pPr>
        <w:pStyle w:val="ECHRParaQuote"/>
        <w:rPr>
          <w:lang w:val="fr-FR"/>
        </w:rPr>
      </w:pPr>
      <w:r w:rsidRPr="00D07C7C">
        <w:rPr>
          <w:lang w:val="fr-FR"/>
        </w:rPr>
        <w:t>« Le Gouvernement a proposé au requérant la somme de 45 000 EUR (quarante-cinq mille euros) à titre de préjudice matériel et moral ainsi que pour les frais et dépens, plus tout montant pouvant être dû à titre d</w:t>
      </w:r>
      <w:r w:rsidR="00D07C7C" w:rsidRPr="00D07C7C">
        <w:rPr>
          <w:lang w:val="fr-FR"/>
        </w:rPr>
        <w:t>’</w:t>
      </w:r>
      <w:r w:rsidRPr="00D07C7C">
        <w:rPr>
          <w:lang w:val="fr-FR"/>
        </w:rPr>
        <w:t>impôt par l</w:t>
      </w:r>
      <w:r w:rsidR="00D07C7C" w:rsidRPr="00D07C7C">
        <w:rPr>
          <w:lang w:val="fr-FR"/>
        </w:rPr>
        <w:t>’</w:t>
      </w:r>
      <w:r w:rsidRPr="00D07C7C">
        <w:rPr>
          <w:lang w:val="fr-FR"/>
        </w:rPr>
        <w:t>intéressé, lequel a renoncé à toute autre prétention à l</w:t>
      </w:r>
      <w:r w:rsidR="00D07C7C" w:rsidRPr="00D07C7C">
        <w:rPr>
          <w:lang w:val="fr-FR"/>
        </w:rPr>
        <w:t>’</w:t>
      </w:r>
      <w:r w:rsidRPr="00D07C7C">
        <w:rPr>
          <w:lang w:val="fr-FR"/>
        </w:rPr>
        <w:t>encontre de l</w:t>
      </w:r>
      <w:r w:rsidR="00D07C7C" w:rsidRPr="00D07C7C">
        <w:rPr>
          <w:lang w:val="fr-FR"/>
        </w:rPr>
        <w:t>’</w:t>
      </w:r>
      <w:r w:rsidRPr="00D07C7C">
        <w:rPr>
          <w:lang w:val="fr-FR"/>
        </w:rPr>
        <w:t>Italie à propos des faits à l</w:t>
      </w:r>
      <w:r w:rsidR="00D07C7C" w:rsidRPr="00D07C7C">
        <w:rPr>
          <w:lang w:val="fr-FR"/>
        </w:rPr>
        <w:t>’</w:t>
      </w:r>
      <w:r w:rsidRPr="00D07C7C">
        <w:rPr>
          <w:lang w:val="fr-FR"/>
        </w:rPr>
        <w:t>origine de sa requête. »</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132</w:t>
      </w:r>
      <w:r w:rsidRPr="00D07C7C">
        <w:rPr>
          <w:lang w:val="fr-FR"/>
        </w:rPr>
        <w:fldChar w:fldCharType="end"/>
      </w:r>
      <w:r w:rsidRPr="00D07C7C">
        <w:rPr>
          <w:lang w:val="fr-FR"/>
        </w:rPr>
        <w:t>.  Dès lors, en acceptant la proposition de règlement amiable, ces requérants ont renoncé à toute prétention relative aux frais et dépens. Par conséquent, la Cour décide qu</w:t>
      </w:r>
      <w:r w:rsidR="00D07C7C" w:rsidRPr="00D07C7C">
        <w:rPr>
          <w:lang w:val="fr-FR"/>
        </w:rPr>
        <w:t>’</w:t>
      </w:r>
      <w:r w:rsidRPr="00D07C7C">
        <w:rPr>
          <w:lang w:val="fr-FR"/>
        </w:rPr>
        <w:t>il y a lieu de déduire du montant global demandé la somme correspondante aux requérants ayant accepté ladite proposition de règlement amiable. Cette somme est obtenue en multipliant le prorata dû à chaque requérant par le nombre de requérants concernés.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133</w:t>
      </w:r>
      <w:r w:rsidRPr="00D07C7C">
        <w:rPr>
          <w:lang w:val="fr-FR"/>
        </w:rPr>
        <w:fldChar w:fldCharType="end"/>
      </w:r>
      <w:r w:rsidRPr="00D07C7C">
        <w:rPr>
          <w:lang w:val="fr-FR"/>
        </w:rPr>
        <w:t>.  La même solution s</w:t>
      </w:r>
      <w:r w:rsidR="00D07C7C" w:rsidRPr="00D07C7C">
        <w:rPr>
          <w:lang w:val="fr-FR"/>
        </w:rPr>
        <w:t>’</w:t>
      </w:r>
      <w:r w:rsidRPr="00D07C7C">
        <w:rPr>
          <w:lang w:val="fr-FR"/>
        </w:rPr>
        <w:t>impose en ce qui concerne les quatre requérants qui ont informé la Cour de leur volonté de se désister de la requête n</w:t>
      </w:r>
      <w:r w:rsidRPr="00D07C7C">
        <w:rPr>
          <w:vertAlign w:val="superscript"/>
          <w:lang w:val="fr-FR"/>
        </w:rPr>
        <w:t>o</w:t>
      </w:r>
      <w:r w:rsidRPr="00D07C7C">
        <w:rPr>
          <w:lang w:val="fr-FR"/>
        </w:rPr>
        <w:t xml:space="preserve"> 43390/13 (paragraphe </w:t>
      </w:r>
      <w:r w:rsidRPr="00D07C7C">
        <w:rPr>
          <w:lang w:val="fr-FR"/>
        </w:rPr>
        <w:fldChar w:fldCharType="begin"/>
      </w:r>
      <w:r w:rsidRPr="00D07C7C">
        <w:rPr>
          <w:lang w:val="fr-FR"/>
        </w:rPr>
        <w:instrText xml:space="preserve"> REF DESISTEMENT \h </w:instrText>
      </w:r>
      <w:r w:rsidRPr="00D07C7C">
        <w:rPr>
          <w:lang w:val="fr-FR"/>
        </w:rPr>
      </w:r>
      <w:r w:rsidRPr="00D07C7C">
        <w:rPr>
          <w:lang w:val="fr-FR"/>
        </w:rPr>
        <w:fldChar w:fldCharType="separate"/>
      </w:r>
      <w:r w:rsidR="00D07C7C" w:rsidRPr="00D07C7C">
        <w:rPr>
          <w:noProof/>
          <w:lang w:val="fr-CA"/>
        </w:rPr>
        <w:t>96</w:t>
      </w:r>
      <w:r w:rsidRPr="00D07C7C">
        <w:rPr>
          <w:lang w:val="fr-FR"/>
        </w:rPr>
        <w:fldChar w:fldCharType="end"/>
      </w:r>
      <w:r w:rsidRPr="00D07C7C">
        <w:rPr>
          <w:lang w:val="fr-FR"/>
        </w:rPr>
        <w:t xml:space="preserve"> ci-dessus).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134</w:t>
      </w:r>
      <w:r w:rsidRPr="00D07C7C">
        <w:rPr>
          <w:lang w:val="fr-FR"/>
        </w:rPr>
        <w:fldChar w:fldCharType="end"/>
      </w:r>
      <w:r w:rsidRPr="00D07C7C">
        <w:rPr>
          <w:lang w:val="fr-FR"/>
        </w:rPr>
        <w:t>.  En conclusion, la Cour accorde aux requérants figurant sous les numéros 2-5, 7, 10-12, 14-15, 17-18, 22-27, 30-31, 34 et 35 dans la liste de l</w:t>
      </w:r>
      <w:r w:rsidR="00D07C7C" w:rsidRPr="00D07C7C">
        <w:rPr>
          <w:lang w:val="fr-FR"/>
        </w:rPr>
        <w:t>’</w:t>
      </w:r>
      <w:r w:rsidRPr="00D07C7C">
        <w:rPr>
          <w:lang w:val="fr-FR"/>
        </w:rPr>
        <w:t>annexe I, la somme globale de 59 750 EUR (cinquante-neuf mille sept cent cinquante euros) en remboursement des frais et dépens engagés devant elle (voir l</w:t>
      </w:r>
      <w:r w:rsidR="00D07C7C" w:rsidRPr="00D07C7C">
        <w:rPr>
          <w:lang w:val="fr-FR"/>
        </w:rPr>
        <w:t>’</w:t>
      </w:r>
      <w:r w:rsidRPr="00D07C7C">
        <w:rPr>
          <w:lang w:val="fr-FR"/>
        </w:rPr>
        <w:t>annexe II pour les sommes accordées en détail aux requérants).</w:t>
      </w:r>
    </w:p>
    <w:p w:rsidR="00FE73C2" w:rsidRPr="00D07C7C" w:rsidRDefault="00FE73C2" w:rsidP="00D07C7C">
      <w:pPr>
        <w:pStyle w:val="ECHRHeading2"/>
        <w:rPr>
          <w:lang w:val="fr-FR"/>
        </w:rPr>
      </w:pPr>
      <w:r w:rsidRPr="00D07C7C">
        <w:rPr>
          <w:lang w:val="fr-FR"/>
        </w:rPr>
        <w:lastRenderedPageBreak/>
        <w:t>C.  Intérêts moratoires</w:t>
      </w:r>
    </w:p>
    <w:p w:rsidR="00FE73C2" w:rsidRPr="00D07C7C" w:rsidRDefault="00FE73C2" w:rsidP="00D07C7C">
      <w:pPr>
        <w:pStyle w:val="ECHRPara"/>
        <w:rPr>
          <w:lang w:val="fr-FR"/>
        </w:rPr>
      </w:pPr>
      <w:r w:rsidRPr="00D07C7C">
        <w:rPr>
          <w:lang w:val="fr-FR"/>
        </w:rPr>
        <w:fldChar w:fldCharType="begin"/>
      </w:r>
      <w:r w:rsidRPr="00D07C7C">
        <w:rPr>
          <w:lang w:val="fr-FR"/>
        </w:rPr>
        <w:instrText xml:space="preserve"> SEQ level0 \*arabic </w:instrText>
      </w:r>
      <w:r w:rsidRPr="00D07C7C">
        <w:rPr>
          <w:lang w:val="fr-FR"/>
        </w:rPr>
        <w:fldChar w:fldCharType="separate"/>
      </w:r>
      <w:r w:rsidR="00D07C7C" w:rsidRPr="00D07C7C">
        <w:rPr>
          <w:noProof/>
          <w:lang w:val="fr-FR"/>
        </w:rPr>
        <w:t>135</w:t>
      </w:r>
      <w:r w:rsidRPr="00D07C7C">
        <w:rPr>
          <w:lang w:val="fr-FR"/>
        </w:rPr>
        <w:fldChar w:fldCharType="end"/>
      </w:r>
      <w:r w:rsidRPr="00D07C7C">
        <w:rPr>
          <w:lang w:val="fr-FR"/>
        </w:rPr>
        <w:t>.  La Cour juge approprié de calquer le taux des intérêts moratoires sur le taux d</w:t>
      </w:r>
      <w:r w:rsidR="00D07C7C" w:rsidRPr="00D07C7C">
        <w:rPr>
          <w:lang w:val="fr-FR"/>
        </w:rPr>
        <w:t>’</w:t>
      </w:r>
      <w:r w:rsidRPr="00D07C7C">
        <w:rPr>
          <w:lang w:val="fr-FR"/>
        </w:rPr>
        <w:t>intérêt de la facilité de prêt marginal de la Banque centrale européenne majoré de trois points de pourcentage.</w:t>
      </w:r>
    </w:p>
    <w:p w:rsidR="00FE73C2" w:rsidRPr="00D07C7C" w:rsidRDefault="00FE73C2" w:rsidP="00D07C7C">
      <w:pPr>
        <w:pStyle w:val="ECHRTitle1"/>
        <w:rPr>
          <w:lang w:val="fr-FR"/>
        </w:rPr>
      </w:pPr>
      <w:r w:rsidRPr="00D07C7C">
        <w:rPr>
          <w:lang w:val="fr-FR"/>
        </w:rPr>
        <w:t>PAR CES MOTIFS, LA COUR, À L</w:t>
      </w:r>
      <w:r w:rsidR="00D07C7C" w:rsidRPr="00D07C7C">
        <w:rPr>
          <w:lang w:val="fr-FR"/>
        </w:rPr>
        <w:t>’</w:t>
      </w:r>
      <w:r w:rsidRPr="00D07C7C">
        <w:rPr>
          <w:lang w:val="fr-FR"/>
        </w:rPr>
        <w:t>UNANIMITÉ,</w:t>
      </w:r>
    </w:p>
    <w:p w:rsidR="00FE73C2" w:rsidRPr="00D07C7C" w:rsidRDefault="00FE73C2" w:rsidP="00D07C7C">
      <w:pPr>
        <w:pStyle w:val="JuList"/>
        <w:rPr>
          <w:lang w:val="fr-FR"/>
        </w:rPr>
      </w:pPr>
      <w:r w:rsidRPr="00D07C7C">
        <w:rPr>
          <w:lang w:val="fr-FR"/>
        </w:rPr>
        <w:t>1.  </w:t>
      </w:r>
      <w:r w:rsidRPr="00D07C7C">
        <w:rPr>
          <w:i/>
          <w:lang w:val="fr-FR"/>
        </w:rPr>
        <w:t>Décide</w:t>
      </w:r>
      <w:r w:rsidRPr="00D07C7C">
        <w:rPr>
          <w:lang w:val="fr-FR"/>
        </w:rPr>
        <w:t xml:space="preserve"> de joindre les requêtes ;</w:t>
      </w:r>
    </w:p>
    <w:p w:rsidR="00FE73C2" w:rsidRPr="00D07C7C" w:rsidRDefault="00FE73C2" w:rsidP="00D07C7C">
      <w:pPr>
        <w:pStyle w:val="JuList"/>
        <w:rPr>
          <w:lang w:val="fr-FR"/>
        </w:rPr>
      </w:pPr>
    </w:p>
    <w:p w:rsidR="00FE73C2" w:rsidRPr="00D07C7C" w:rsidRDefault="00FE73C2" w:rsidP="00D07C7C">
      <w:pPr>
        <w:pStyle w:val="JuList"/>
        <w:rPr>
          <w:lang w:val="fr-FR"/>
        </w:rPr>
      </w:pPr>
      <w:r w:rsidRPr="00D07C7C">
        <w:rPr>
          <w:lang w:val="fr-FR"/>
        </w:rPr>
        <w:t>2.  </w:t>
      </w:r>
      <w:r w:rsidRPr="00D07C7C">
        <w:rPr>
          <w:i/>
          <w:lang w:val="fr-FR"/>
        </w:rPr>
        <w:t>Décide</w:t>
      </w:r>
      <w:r w:rsidRPr="00D07C7C">
        <w:rPr>
          <w:lang w:val="fr-FR"/>
        </w:rPr>
        <w:t xml:space="preserve"> de rayer la requête du rôle, en ce qui concerne les requérants dans la requête n</w:t>
      </w:r>
      <w:r w:rsidRPr="00D07C7C">
        <w:rPr>
          <w:vertAlign w:val="superscript"/>
          <w:lang w:val="fr-FR"/>
        </w:rPr>
        <w:t>o</w:t>
      </w:r>
      <w:r w:rsidRPr="00D07C7C">
        <w:rPr>
          <w:lang w:val="fr-FR"/>
        </w:rPr>
        <w:t xml:space="preserve"> 43390/13 qui figurent en annexe I sous les numéros 1, </w:t>
      </w:r>
      <w:r w:rsidR="006B4814" w:rsidRPr="00D07C7C">
        <w:rPr>
          <w:lang w:val="fr-FR"/>
        </w:rPr>
        <w:t>6, 8,</w:t>
      </w:r>
      <w:r w:rsidRPr="00D07C7C">
        <w:rPr>
          <w:lang w:val="fr-FR"/>
        </w:rPr>
        <w:t xml:space="preserve"> 9, 13, 16, 19-21, 28-29, 32 et 33 ;</w:t>
      </w:r>
    </w:p>
    <w:p w:rsidR="00FE73C2" w:rsidRPr="00D07C7C" w:rsidRDefault="00FE73C2" w:rsidP="00D07C7C">
      <w:pPr>
        <w:pStyle w:val="JuList"/>
        <w:rPr>
          <w:lang w:val="fr-FR"/>
        </w:rPr>
      </w:pPr>
    </w:p>
    <w:p w:rsidR="00FE73C2" w:rsidRPr="00D07C7C" w:rsidRDefault="00FE73C2" w:rsidP="00D07C7C">
      <w:pPr>
        <w:pStyle w:val="JuList"/>
        <w:rPr>
          <w:lang w:val="fr-FR"/>
        </w:rPr>
      </w:pPr>
      <w:r w:rsidRPr="00D07C7C">
        <w:rPr>
          <w:lang w:val="fr-FR"/>
        </w:rPr>
        <w:t>3.  </w:t>
      </w:r>
      <w:r w:rsidRPr="00D07C7C">
        <w:rPr>
          <w:i/>
          <w:lang w:val="fr-FR"/>
        </w:rPr>
        <w:t>Déclare</w:t>
      </w:r>
      <w:r w:rsidRPr="00D07C7C">
        <w:rPr>
          <w:lang w:val="fr-FR"/>
        </w:rPr>
        <w:t xml:space="preserve"> les requêtes recevables à l</w:t>
      </w:r>
      <w:r w:rsidR="00D07C7C" w:rsidRPr="00D07C7C">
        <w:rPr>
          <w:lang w:val="fr-FR"/>
        </w:rPr>
        <w:t>’</w:t>
      </w:r>
      <w:r w:rsidRPr="00D07C7C">
        <w:rPr>
          <w:lang w:val="fr-FR"/>
        </w:rPr>
        <w:t>égard des autres requérants ;</w:t>
      </w:r>
    </w:p>
    <w:p w:rsidR="00FE73C2" w:rsidRPr="00D07C7C" w:rsidRDefault="00FE73C2" w:rsidP="00D07C7C">
      <w:pPr>
        <w:pStyle w:val="JuList"/>
        <w:rPr>
          <w:lang w:val="fr-FR"/>
        </w:rPr>
      </w:pPr>
    </w:p>
    <w:p w:rsidR="00FE73C2" w:rsidRPr="00D07C7C" w:rsidRDefault="00FE73C2" w:rsidP="00D07C7C">
      <w:pPr>
        <w:pStyle w:val="JuList"/>
        <w:rPr>
          <w:lang w:val="fr-FR"/>
        </w:rPr>
      </w:pPr>
      <w:r w:rsidRPr="00D07C7C">
        <w:rPr>
          <w:lang w:val="fr-FR"/>
        </w:rPr>
        <w:t>4.  </w:t>
      </w:r>
      <w:r w:rsidRPr="00D07C7C">
        <w:rPr>
          <w:i/>
          <w:lang w:val="fr-FR"/>
        </w:rPr>
        <w:t>Dit</w:t>
      </w:r>
      <w:r w:rsidRPr="00D07C7C">
        <w:rPr>
          <w:lang w:val="fr-FR"/>
        </w:rPr>
        <w:t xml:space="preserve"> qu</w:t>
      </w:r>
      <w:r w:rsidR="00D07C7C" w:rsidRPr="00D07C7C">
        <w:rPr>
          <w:lang w:val="fr-FR"/>
        </w:rPr>
        <w:t>’</w:t>
      </w:r>
      <w:r w:rsidRPr="00D07C7C">
        <w:rPr>
          <w:lang w:val="fr-FR"/>
        </w:rPr>
        <w:t>il y a eu violation de l</w:t>
      </w:r>
      <w:r w:rsidR="00D07C7C" w:rsidRPr="00D07C7C">
        <w:rPr>
          <w:lang w:val="fr-FR"/>
        </w:rPr>
        <w:t>’</w:t>
      </w:r>
      <w:r w:rsidRPr="00D07C7C">
        <w:rPr>
          <w:lang w:val="fr-FR"/>
        </w:rPr>
        <w:t>article 3 de la Convention sous son volet matériel ;</w:t>
      </w:r>
    </w:p>
    <w:p w:rsidR="00FE73C2" w:rsidRPr="00D07C7C" w:rsidRDefault="00FE73C2" w:rsidP="00D07C7C">
      <w:pPr>
        <w:pStyle w:val="JuList"/>
        <w:rPr>
          <w:lang w:val="fr-FR"/>
        </w:rPr>
      </w:pPr>
    </w:p>
    <w:p w:rsidR="00FE73C2" w:rsidRPr="00D07C7C" w:rsidRDefault="00FE73C2" w:rsidP="00D07C7C">
      <w:pPr>
        <w:pStyle w:val="JuList"/>
        <w:rPr>
          <w:lang w:val="fr-FR"/>
        </w:rPr>
      </w:pPr>
      <w:r w:rsidRPr="00D07C7C">
        <w:rPr>
          <w:lang w:val="fr-FR"/>
        </w:rPr>
        <w:t>5.  </w:t>
      </w:r>
      <w:r w:rsidRPr="00D07C7C">
        <w:rPr>
          <w:i/>
          <w:lang w:val="fr-FR"/>
        </w:rPr>
        <w:t>Dit</w:t>
      </w:r>
      <w:r w:rsidRPr="00D07C7C">
        <w:rPr>
          <w:lang w:val="fr-FR"/>
        </w:rPr>
        <w:t xml:space="preserve"> qu</w:t>
      </w:r>
      <w:r w:rsidR="00D07C7C" w:rsidRPr="00D07C7C">
        <w:rPr>
          <w:lang w:val="fr-FR"/>
        </w:rPr>
        <w:t>’</w:t>
      </w:r>
      <w:r w:rsidRPr="00D07C7C">
        <w:rPr>
          <w:lang w:val="fr-FR"/>
        </w:rPr>
        <w:t>il y a eu violation de l</w:t>
      </w:r>
      <w:r w:rsidR="00D07C7C" w:rsidRPr="00D07C7C">
        <w:rPr>
          <w:lang w:val="fr-FR"/>
        </w:rPr>
        <w:t>’</w:t>
      </w:r>
      <w:r w:rsidRPr="00D07C7C">
        <w:rPr>
          <w:lang w:val="fr-FR"/>
        </w:rPr>
        <w:t>article 3 de la Convention sous son volet procédural ;</w:t>
      </w:r>
    </w:p>
    <w:p w:rsidR="00FE73C2" w:rsidRPr="00D07C7C" w:rsidRDefault="00FE73C2" w:rsidP="00D07C7C">
      <w:pPr>
        <w:pStyle w:val="JuList"/>
        <w:rPr>
          <w:lang w:val="fr-FR"/>
        </w:rPr>
      </w:pPr>
    </w:p>
    <w:p w:rsidR="00FE73C2" w:rsidRPr="00D07C7C" w:rsidRDefault="00FE73C2" w:rsidP="00D07C7C">
      <w:pPr>
        <w:pStyle w:val="JuList"/>
        <w:rPr>
          <w:lang w:val="fr-FR"/>
        </w:rPr>
      </w:pPr>
      <w:r w:rsidRPr="00D07C7C">
        <w:rPr>
          <w:lang w:val="fr-FR"/>
        </w:rPr>
        <w:t>6.  </w:t>
      </w:r>
      <w:r w:rsidRPr="00D07C7C">
        <w:rPr>
          <w:i/>
          <w:lang w:val="fr-FR"/>
        </w:rPr>
        <w:t>Dit</w:t>
      </w:r>
    </w:p>
    <w:p w:rsidR="00FE73C2" w:rsidRPr="00D07C7C" w:rsidRDefault="00FE73C2" w:rsidP="00D07C7C">
      <w:pPr>
        <w:pStyle w:val="JuLista"/>
        <w:rPr>
          <w:lang w:val="fr-FR"/>
        </w:rPr>
      </w:pPr>
      <w:r w:rsidRPr="00D07C7C">
        <w:rPr>
          <w:lang w:val="fr-FR"/>
        </w:rPr>
        <w:t>a)  que l</w:t>
      </w:r>
      <w:r w:rsidR="00D07C7C" w:rsidRPr="00D07C7C">
        <w:rPr>
          <w:lang w:val="fr-FR"/>
        </w:rPr>
        <w:t>’</w:t>
      </w:r>
      <w:r w:rsidRPr="00D07C7C">
        <w:rPr>
          <w:lang w:val="fr-FR"/>
        </w:rPr>
        <w:t>État défendeur doit verser aux requérants, dans les trois mois à compter du jour où l</w:t>
      </w:r>
      <w:r w:rsidR="00D07C7C" w:rsidRPr="00D07C7C">
        <w:rPr>
          <w:lang w:val="fr-FR"/>
        </w:rPr>
        <w:t>’</w:t>
      </w:r>
      <w:r w:rsidRPr="00D07C7C">
        <w:rPr>
          <w:lang w:val="fr-FR"/>
        </w:rPr>
        <w:t>arrêt sera devenu définitif conformément à l</w:t>
      </w:r>
      <w:r w:rsidR="00D07C7C" w:rsidRPr="00D07C7C">
        <w:rPr>
          <w:lang w:val="fr-FR"/>
        </w:rPr>
        <w:t>’</w:t>
      </w:r>
      <w:r w:rsidRPr="00D07C7C">
        <w:rPr>
          <w:lang w:val="fr-FR"/>
        </w:rPr>
        <w:t>article 44 § 2 de la Convention, les sommes suivantes, au taux applicable à la date du règlement :</w:t>
      </w:r>
    </w:p>
    <w:p w:rsidR="00FE73C2" w:rsidRPr="00D07C7C" w:rsidRDefault="00FE73C2" w:rsidP="00D07C7C">
      <w:pPr>
        <w:pStyle w:val="JuListi"/>
        <w:rPr>
          <w:lang w:val="fr-FR" w:eastAsia="en-GB"/>
        </w:rPr>
      </w:pPr>
      <w:r w:rsidRPr="00D07C7C">
        <w:rPr>
          <w:lang w:val="fr-FR" w:eastAsia="en-GB"/>
        </w:rPr>
        <w:t xml:space="preserve">i.  55 000 EUR (cinquante-cinq mille euros) à </w:t>
      </w:r>
      <w:r w:rsidRPr="00D07C7C">
        <w:rPr>
          <w:szCs w:val="24"/>
          <w:lang w:val="fr-FR"/>
        </w:rPr>
        <w:t>M</w:t>
      </w:r>
      <w:r w:rsidRPr="00D07C7C">
        <w:rPr>
          <w:szCs w:val="24"/>
          <w:vertAlign w:val="superscript"/>
          <w:lang w:val="fr-FR"/>
        </w:rPr>
        <w:t>mes </w:t>
      </w:r>
      <w:r w:rsidRPr="00D07C7C">
        <w:rPr>
          <w:szCs w:val="24"/>
          <w:lang w:val="fr-FR"/>
        </w:rPr>
        <w:t>A.J. Kutschkau et L. Zuhlke, plus tout montant pouvant être dû à titre d</w:t>
      </w:r>
      <w:r w:rsidR="00D07C7C" w:rsidRPr="00D07C7C">
        <w:rPr>
          <w:szCs w:val="24"/>
          <w:lang w:val="fr-FR"/>
        </w:rPr>
        <w:t>’</w:t>
      </w:r>
      <w:r w:rsidRPr="00D07C7C">
        <w:rPr>
          <w:szCs w:val="24"/>
          <w:lang w:val="fr-FR"/>
        </w:rPr>
        <w:t>impôt, pour dommage moral,</w:t>
      </w:r>
    </w:p>
    <w:p w:rsidR="00FE73C2" w:rsidRPr="00D07C7C" w:rsidRDefault="00FE73C2" w:rsidP="00D07C7C">
      <w:pPr>
        <w:pStyle w:val="JuListi"/>
        <w:rPr>
          <w:lang w:val="fr-FR" w:eastAsia="en-GB"/>
        </w:rPr>
      </w:pPr>
      <w:r w:rsidRPr="00D07C7C">
        <w:rPr>
          <w:lang w:val="fr-FR" w:eastAsia="en-GB"/>
        </w:rPr>
        <w:t>ii.  45 000 EUR (quarante-cinq mille euros) aux requérants de la requête n</w:t>
      </w:r>
      <w:r w:rsidRPr="00D07C7C">
        <w:rPr>
          <w:vertAlign w:val="superscript"/>
          <w:lang w:val="fr-FR" w:eastAsia="en-GB"/>
        </w:rPr>
        <w:t>o</w:t>
      </w:r>
      <w:r w:rsidRPr="00D07C7C">
        <w:rPr>
          <w:lang w:val="fr-FR" w:eastAsia="en-GB"/>
        </w:rPr>
        <w:t xml:space="preserve"> 12131/13 et aux requérants de la requête n</w:t>
      </w:r>
      <w:r w:rsidRPr="00D07C7C">
        <w:rPr>
          <w:vertAlign w:val="superscript"/>
          <w:lang w:val="fr-FR" w:eastAsia="en-GB"/>
        </w:rPr>
        <w:t>o</w:t>
      </w:r>
      <w:r w:rsidRPr="00D07C7C">
        <w:rPr>
          <w:lang w:val="fr-FR" w:eastAsia="en-GB"/>
        </w:rPr>
        <w:t xml:space="preserve"> 43390/13 figurant sous les numéros </w:t>
      </w:r>
      <w:r w:rsidRPr="00D07C7C">
        <w:rPr>
          <w:lang w:val="fr-FR"/>
        </w:rPr>
        <w:t>2-5, 7, 10-12, 14, 17-18, 22-27, 30-31 et 34 dans la liste de l</w:t>
      </w:r>
      <w:r w:rsidR="00D07C7C" w:rsidRPr="00D07C7C">
        <w:rPr>
          <w:lang w:val="fr-FR"/>
        </w:rPr>
        <w:t>’</w:t>
      </w:r>
      <w:r w:rsidRPr="00D07C7C">
        <w:rPr>
          <w:lang w:val="fr-FR"/>
        </w:rPr>
        <w:t>annexe I</w:t>
      </w:r>
      <w:r w:rsidRPr="00D07C7C">
        <w:rPr>
          <w:lang w:val="fr-FR" w:eastAsia="en-GB"/>
        </w:rPr>
        <w:t>, plus tout montant pouvant être dû à titre d</w:t>
      </w:r>
      <w:r w:rsidR="00D07C7C" w:rsidRPr="00D07C7C">
        <w:rPr>
          <w:lang w:val="fr-FR" w:eastAsia="en-GB"/>
        </w:rPr>
        <w:t>’</w:t>
      </w:r>
      <w:r w:rsidRPr="00D07C7C">
        <w:rPr>
          <w:lang w:val="fr-FR" w:eastAsia="en-GB"/>
        </w:rPr>
        <w:t>impôt, pour dommage moral,</w:t>
      </w:r>
    </w:p>
    <w:p w:rsidR="00FE73C2" w:rsidRPr="00D07C7C" w:rsidRDefault="00FE73C2" w:rsidP="00D07C7C">
      <w:pPr>
        <w:pStyle w:val="JuListi"/>
        <w:rPr>
          <w:lang w:val="fr-FR" w:eastAsia="en-GB"/>
        </w:rPr>
      </w:pPr>
      <w:r w:rsidRPr="00D07C7C">
        <w:rPr>
          <w:lang w:val="fr-FR" w:eastAsia="en-GB"/>
        </w:rPr>
        <w:t>iii.  59 750 EUR (</w:t>
      </w:r>
      <w:r w:rsidRPr="00D07C7C">
        <w:rPr>
          <w:lang w:val="fr-FR"/>
        </w:rPr>
        <w:t>cinquante-neuf mille sept cent cinquante euros</w:t>
      </w:r>
      <w:r w:rsidRPr="00D07C7C">
        <w:rPr>
          <w:lang w:val="fr-FR" w:eastAsia="en-GB"/>
        </w:rPr>
        <w:t xml:space="preserve">), plus tout montant pouvant être dû par </w:t>
      </w:r>
      <w:r w:rsidRPr="00D07C7C">
        <w:rPr>
          <w:lang w:val="fr-FR"/>
        </w:rPr>
        <w:t>les requérants de la requête n</w:t>
      </w:r>
      <w:r w:rsidRPr="00D07C7C">
        <w:rPr>
          <w:vertAlign w:val="superscript"/>
          <w:lang w:val="fr-FR"/>
        </w:rPr>
        <w:t>o</w:t>
      </w:r>
      <w:r w:rsidRPr="00D07C7C">
        <w:rPr>
          <w:lang w:val="fr-FR"/>
        </w:rPr>
        <w:t xml:space="preserve"> 43390/13, </w:t>
      </w:r>
      <w:r w:rsidRPr="00D07C7C">
        <w:rPr>
          <w:lang w:val="fr-FR" w:eastAsia="en-GB"/>
        </w:rPr>
        <w:t xml:space="preserve">figurant sous les numéros </w:t>
      </w:r>
      <w:r w:rsidRPr="00D07C7C">
        <w:rPr>
          <w:lang w:val="fr-FR"/>
        </w:rPr>
        <w:t>2-</w:t>
      </w:r>
      <w:r w:rsidR="00D07C7C" w:rsidRPr="00D07C7C">
        <w:rPr>
          <w:lang w:val="fr-FR"/>
        </w:rPr>
        <w:t>5, 7, 10-12, 14-15, 17-18, 22</w:t>
      </w:r>
      <w:r w:rsidR="00D07C7C" w:rsidRPr="00D07C7C">
        <w:rPr>
          <w:lang w:val="fr-FR"/>
        </w:rPr>
        <w:noBreakHyphen/>
      </w:r>
      <w:r w:rsidRPr="00D07C7C">
        <w:rPr>
          <w:lang w:val="fr-FR"/>
        </w:rPr>
        <w:t>27, 30-31, 34 et 35 dans la liste de l</w:t>
      </w:r>
      <w:r w:rsidR="00D07C7C" w:rsidRPr="00D07C7C">
        <w:rPr>
          <w:lang w:val="fr-FR"/>
        </w:rPr>
        <w:t>’</w:t>
      </w:r>
      <w:r w:rsidRPr="00D07C7C">
        <w:rPr>
          <w:lang w:val="fr-FR"/>
        </w:rPr>
        <w:t>annexe I</w:t>
      </w:r>
      <w:r w:rsidRPr="00D07C7C">
        <w:rPr>
          <w:lang w:val="fr-FR" w:eastAsia="en-GB"/>
        </w:rPr>
        <w:t>, à titre d</w:t>
      </w:r>
      <w:r w:rsidR="00D07C7C" w:rsidRPr="00D07C7C">
        <w:rPr>
          <w:lang w:val="fr-FR" w:eastAsia="en-GB"/>
        </w:rPr>
        <w:t>’</w:t>
      </w:r>
      <w:r w:rsidRPr="00D07C7C">
        <w:rPr>
          <w:lang w:val="fr-FR" w:eastAsia="en-GB"/>
        </w:rPr>
        <w:t>impôt, pour frais et dépens ;</w:t>
      </w:r>
    </w:p>
    <w:p w:rsidR="00FE73C2" w:rsidRPr="00D07C7C" w:rsidRDefault="00FE73C2" w:rsidP="00D07C7C">
      <w:pPr>
        <w:pStyle w:val="JuLista"/>
        <w:rPr>
          <w:lang w:val="fr-FR"/>
        </w:rPr>
      </w:pPr>
      <w:r w:rsidRPr="00D07C7C">
        <w:rPr>
          <w:lang w:val="fr-FR"/>
        </w:rPr>
        <w:t>b)  qu</w:t>
      </w:r>
      <w:r w:rsidR="00D07C7C" w:rsidRPr="00D07C7C">
        <w:rPr>
          <w:lang w:val="fr-FR"/>
        </w:rPr>
        <w:t>’</w:t>
      </w:r>
      <w:r w:rsidRPr="00D07C7C">
        <w:rPr>
          <w:lang w:val="fr-FR"/>
        </w:rPr>
        <w:t>à compter de l</w:t>
      </w:r>
      <w:r w:rsidR="00D07C7C" w:rsidRPr="00D07C7C">
        <w:rPr>
          <w:lang w:val="fr-FR"/>
        </w:rPr>
        <w:t>’</w:t>
      </w:r>
      <w:r w:rsidRPr="00D07C7C">
        <w:rPr>
          <w:lang w:val="fr-FR"/>
        </w:rPr>
        <w:t>expiration dudit délai et jusqu</w:t>
      </w:r>
      <w:r w:rsidR="00D07C7C" w:rsidRPr="00D07C7C">
        <w:rPr>
          <w:lang w:val="fr-FR"/>
        </w:rPr>
        <w:t>’</w:t>
      </w:r>
      <w:r w:rsidRPr="00D07C7C">
        <w:rPr>
          <w:lang w:val="fr-FR"/>
        </w:rPr>
        <w:t>au versement, ces montants seront à majorer d</w:t>
      </w:r>
      <w:r w:rsidR="00D07C7C" w:rsidRPr="00D07C7C">
        <w:rPr>
          <w:lang w:val="fr-FR"/>
        </w:rPr>
        <w:t>’</w:t>
      </w:r>
      <w:r w:rsidRPr="00D07C7C">
        <w:rPr>
          <w:lang w:val="fr-FR"/>
        </w:rPr>
        <w:t xml:space="preserve">un intérêt simple à un taux égal à celui de la </w:t>
      </w:r>
      <w:r w:rsidRPr="00D07C7C">
        <w:rPr>
          <w:lang w:val="fr-FR"/>
        </w:rPr>
        <w:lastRenderedPageBreak/>
        <w:t>facilité de prêt marginal de la Banque centrale européenne applicable pendant cette période, augmenté de trois points de pourcentage ;</w:t>
      </w:r>
    </w:p>
    <w:p w:rsidR="00FE73C2" w:rsidRPr="00D07C7C" w:rsidRDefault="00FE73C2" w:rsidP="00D07C7C">
      <w:pPr>
        <w:pStyle w:val="JuLista"/>
        <w:rPr>
          <w:lang w:val="fr-FR"/>
        </w:rPr>
      </w:pPr>
    </w:p>
    <w:p w:rsidR="00FE73C2" w:rsidRPr="00D07C7C" w:rsidRDefault="00FE73C2" w:rsidP="00D07C7C">
      <w:pPr>
        <w:pStyle w:val="JuList"/>
        <w:rPr>
          <w:lang w:val="fr-FR"/>
        </w:rPr>
      </w:pPr>
      <w:r w:rsidRPr="00D07C7C">
        <w:rPr>
          <w:lang w:val="fr-FR"/>
        </w:rPr>
        <w:t>7.  </w:t>
      </w:r>
      <w:r w:rsidRPr="00D07C7C">
        <w:rPr>
          <w:i/>
          <w:lang w:val="fr-FR"/>
        </w:rPr>
        <w:t>Rejette</w:t>
      </w:r>
      <w:r w:rsidRPr="00D07C7C">
        <w:rPr>
          <w:lang w:val="fr-FR"/>
        </w:rPr>
        <w:t xml:space="preserve"> la demande de satisfaction équitable pour le surplus.</w:t>
      </w:r>
    </w:p>
    <w:p w:rsidR="00FE73C2" w:rsidRPr="00D07C7C" w:rsidRDefault="00FE73C2" w:rsidP="00D07C7C">
      <w:pPr>
        <w:pStyle w:val="JuParaLast"/>
        <w:rPr>
          <w:lang w:val="fr-FR"/>
        </w:rPr>
      </w:pPr>
      <w:r w:rsidRPr="00D07C7C">
        <w:rPr>
          <w:lang w:val="fr-FR"/>
        </w:rPr>
        <w:t>Fait en français, puis communiqué par écrit le 22 juin 2017, en application de l</w:t>
      </w:r>
      <w:r w:rsidR="00D07C7C" w:rsidRPr="00D07C7C">
        <w:rPr>
          <w:lang w:val="fr-FR"/>
        </w:rPr>
        <w:t>’</w:t>
      </w:r>
      <w:r w:rsidRPr="00D07C7C">
        <w:rPr>
          <w:lang w:val="fr-FR"/>
        </w:rPr>
        <w:t>article 77 §§ 2 et 3 du règlement de la Cour.</w:t>
      </w:r>
    </w:p>
    <w:p w:rsidR="004D0A74" w:rsidRPr="00D07C7C" w:rsidRDefault="004D0A74" w:rsidP="00D07C7C">
      <w:pPr>
        <w:pStyle w:val="JuSigned"/>
        <w:keepNext/>
        <w:keepLines/>
        <w:rPr>
          <w:lang w:val="fr-FR"/>
        </w:rPr>
      </w:pPr>
      <w:r w:rsidRPr="00D07C7C">
        <w:rPr>
          <w:lang w:val="fr-FR"/>
        </w:rPr>
        <w:tab/>
      </w:r>
      <w:r w:rsidR="00D33349" w:rsidRPr="00D07C7C">
        <w:rPr>
          <w:lang w:val="fr-FR"/>
        </w:rPr>
        <w:t>Abel Campos</w:t>
      </w:r>
      <w:r w:rsidRPr="00D07C7C">
        <w:rPr>
          <w:lang w:val="fr-FR"/>
        </w:rPr>
        <w:tab/>
      </w:r>
      <w:r w:rsidRPr="00D07C7C">
        <w:rPr>
          <w:szCs w:val="24"/>
          <w:lang w:val="fr-FR"/>
        </w:rPr>
        <w:t>Linos-Alexandre Sicilianos</w:t>
      </w:r>
      <w:r w:rsidRPr="00D07C7C">
        <w:rPr>
          <w:lang w:val="fr-FR"/>
        </w:rPr>
        <w:br/>
      </w:r>
      <w:r w:rsidRPr="00D07C7C">
        <w:rPr>
          <w:lang w:val="fr-FR"/>
        </w:rPr>
        <w:tab/>
        <w:t>Greffi</w:t>
      </w:r>
      <w:r w:rsidR="00D33349" w:rsidRPr="00D07C7C">
        <w:rPr>
          <w:lang w:val="fr-FR"/>
        </w:rPr>
        <w:t>er</w:t>
      </w:r>
      <w:r w:rsidRPr="00D07C7C">
        <w:rPr>
          <w:lang w:val="fr-FR"/>
        </w:rPr>
        <w:tab/>
        <w:t>Président</w:t>
      </w:r>
    </w:p>
    <w:p w:rsidR="004D0A74" w:rsidRPr="00D07C7C" w:rsidRDefault="004D0A74" w:rsidP="00D07C7C">
      <w:pPr>
        <w:rPr>
          <w:lang w:val="fr-FR"/>
        </w:rPr>
      </w:pPr>
    </w:p>
    <w:p w:rsidR="004D0A74" w:rsidRPr="00D07C7C" w:rsidRDefault="004D0A74" w:rsidP="00D07C7C">
      <w:pPr>
        <w:rPr>
          <w:lang w:val="fr-FR"/>
        </w:rPr>
      </w:pPr>
    </w:p>
    <w:p w:rsidR="004D0A74" w:rsidRPr="00D07C7C" w:rsidRDefault="004D0A74" w:rsidP="00D07C7C">
      <w:pPr>
        <w:rPr>
          <w:lang w:val="fr-FR"/>
        </w:rPr>
        <w:sectPr w:rsidR="004D0A74" w:rsidRPr="00D07C7C" w:rsidSect="001831C5">
          <w:headerReference w:type="even" r:id="rId14"/>
          <w:headerReference w:type="default" r:id="rId15"/>
          <w:footerReference w:type="default" r:id="rId16"/>
          <w:headerReference w:type="first" r:id="rId17"/>
          <w:footnotePr>
            <w:numRestart w:val="eachSect"/>
          </w:footnotePr>
          <w:pgSz w:w="11906" w:h="16838" w:code="9"/>
          <w:pgMar w:top="2274" w:right="1983" w:bottom="2274" w:left="2274" w:header="1701" w:footer="720" w:gutter="0"/>
          <w:pgNumType w:start="1"/>
          <w:cols w:space="720"/>
          <w:titlePg/>
        </w:sectPr>
      </w:pPr>
    </w:p>
    <w:p w:rsidR="004D0A74" w:rsidRPr="00D07C7C" w:rsidRDefault="004D0A74" w:rsidP="00D07C7C">
      <w:pPr>
        <w:pStyle w:val="JuTitle"/>
        <w:rPr>
          <w:lang w:val="fr-FR"/>
        </w:rPr>
      </w:pPr>
      <w:r w:rsidRPr="00D07C7C">
        <w:rPr>
          <w:lang w:val="fr-FR"/>
        </w:rPr>
        <w:lastRenderedPageBreak/>
        <w:t>AnnExe I</w:t>
      </w:r>
    </w:p>
    <w:p w:rsidR="004D0A74" w:rsidRPr="00D07C7C" w:rsidRDefault="004D0A74" w:rsidP="00D07C7C">
      <w:pPr>
        <w:pStyle w:val="ECHRPara"/>
        <w:rPr>
          <w:lang w:val="fr-FR"/>
        </w:rPr>
      </w:pPr>
    </w:p>
    <w:p w:rsidR="007804D1" w:rsidRPr="00D07C7C" w:rsidRDefault="007804D1" w:rsidP="00D07C7C">
      <w:pPr>
        <w:pStyle w:val="ECHRPara"/>
        <w:rPr>
          <w:lang w:val="fr-FR"/>
        </w:rPr>
      </w:pPr>
      <w:bookmarkStart w:id="17" w:name="TableStart"/>
      <w:bookmarkEnd w:id="17"/>
    </w:p>
    <w:tbl>
      <w:tblPr>
        <w:tblW w:w="510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1E0" w:firstRow="1" w:lastRow="1" w:firstColumn="1" w:lastColumn="1" w:noHBand="0" w:noVBand="0"/>
      </w:tblPr>
      <w:tblGrid>
        <w:gridCol w:w="337"/>
        <w:gridCol w:w="6235"/>
        <w:gridCol w:w="6100"/>
      </w:tblGrid>
      <w:tr w:rsidR="007804D1" w:rsidRPr="00D07C7C" w:rsidTr="00BE7CE0">
        <w:trPr>
          <w:trHeight w:val="1252"/>
          <w:tblHeader/>
          <w:jc w:val="center"/>
        </w:trPr>
        <w:tc>
          <w:tcPr>
            <w:tcW w:w="133" w:type="pct"/>
            <w:shd w:val="clear" w:color="auto" w:fill="E0E0E0"/>
            <w:vAlign w:val="center"/>
          </w:tcPr>
          <w:p w:rsidR="007804D1" w:rsidRPr="00D07C7C" w:rsidRDefault="007804D1" w:rsidP="00D07C7C">
            <w:pPr>
              <w:pStyle w:val="ECHRPara"/>
              <w:ind w:firstLine="0"/>
              <w:jc w:val="center"/>
              <w:rPr>
                <w:rFonts w:cstheme="minorHAnsi"/>
                <w:b/>
                <w:sz w:val="16"/>
                <w:szCs w:val="16"/>
                <w:lang w:val="fr-FR"/>
              </w:rPr>
            </w:pPr>
            <w:r w:rsidRPr="00D07C7C">
              <w:rPr>
                <w:rFonts w:cstheme="minorHAnsi"/>
                <w:b/>
                <w:sz w:val="16"/>
                <w:szCs w:val="16"/>
                <w:lang w:val="fr-FR"/>
              </w:rPr>
              <w:t>N</w:t>
            </w:r>
            <w:r w:rsidRPr="00D07C7C">
              <w:rPr>
                <w:rFonts w:cstheme="minorHAnsi"/>
                <w:b/>
                <w:sz w:val="16"/>
                <w:szCs w:val="16"/>
                <w:vertAlign w:val="superscript"/>
                <w:lang w:val="fr-FR"/>
              </w:rPr>
              <w:t>o</w:t>
            </w:r>
          </w:p>
        </w:tc>
        <w:tc>
          <w:tcPr>
            <w:tcW w:w="2460" w:type="pct"/>
            <w:shd w:val="clear" w:color="auto" w:fill="E0E0E0"/>
            <w:vAlign w:val="center"/>
          </w:tcPr>
          <w:p w:rsidR="007804D1" w:rsidRPr="00D07C7C" w:rsidRDefault="007804D1" w:rsidP="00D07C7C">
            <w:pPr>
              <w:pStyle w:val="ECHRPara"/>
              <w:ind w:firstLine="0"/>
              <w:jc w:val="center"/>
              <w:rPr>
                <w:rFonts w:cstheme="minorHAnsi"/>
                <w:b/>
                <w:sz w:val="16"/>
                <w:szCs w:val="16"/>
                <w:lang w:val="fr-FR"/>
              </w:rPr>
            </w:pPr>
            <w:r w:rsidRPr="00D07C7C">
              <w:rPr>
                <w:rFonts w:cstheme="minorHAnsi"/>
                <w:b/>
                <w:sz w:val="16"/>
                <w:szCs w:val="16"/>
                <w:lang w:val="fr-FR"/>
              </w:rPr>
              <w:t>Numéro de la requête</w:t>
            </w:r>
          </w:p>
          <w:p w:rsidR="007804D1" w:rsidRPr="00D07C7C" w:rsidRDefault="007804D1" w:rsidP="00D07C7C">
            <w:pPr>
              <w:pStyle w:val="ECHRPara"/>
              <w:ind w:firstLine="0"/>
              <w:jc w:val="center"/>
              <w:rPr>
                <w:rFonts w:cstheme="minorHAnsi"/>
                <w:b/>
                <w:sz w:val="16"/>
                <w:szCs w:val="16"/>
                <w:lang w:val="fr-FR"/>
              </w:rPr>
            </w:pPr>
            <w:r w:rsidRPr="00D07C7C">
              <w:rPr>
                <w:rFonts w:cstheme="minorHAnsi"/>
                <w:b/>
                <w:sz w:val="16"/>
                <w:szCs w:val="16"/>
                <w:lang w:val="fr-FR"/>
              </w:rPr>
              <w:t>Date d</w:t>
            </w:r>
            <w:r w:rsidR="00D07C7C" w:rsidRPr="00D07C7C">
              <w:rPr>
                <w:rFonts w:cstheme="minorHAnsi"/>
                <w:b/>
                <w:sz w:val="16"/>
                <w:szCs w:val="16"/>
                <w:lang w:val="fr-FR"/>
              </w:rPr>
              <w:t>’</w:t>
            </w:r>
            <w:r w:rsidRPr="00D07C7C">
              <w:rPr>
                <w:rFonts w:cstheme="minorHAnsi"/>
                <w:b/>
                <w:sz w:val="16"/>
                <w:szCs w:val="16"/>
                <w:lang w:val="fr-FR"/>
              </w:rPr>
              <w:t>introduction</w:t>
            </w:r>
          </w:p>
          <w:p w:rsidR="007804D1" w:rsidRPr="00D07C7C" w:rsidRDefault="007804D1" w:rsidP="00D07C7C">
            <w:pPr>
              <w:pStyle w:val="ECHRPara"/>
              <w:ind w:firstLine="0"/>
              <w:jc w:val="center"/>
              <w:rPr>
                <w:rFonts w:cstheme="minorHAnsi"/>
                <w:b/>
                <w:sz w:val="16"/>
                <w:szCs w:val="16"/>
                <w:lang w:val="fr-FR"/>
              </w:rPr>
            </w:pPr>
            <w:r w:rsidRPr="00D07C7C">
              <w:rPr>
                <w:rFonts w:cstheme="minorHAnsi"/>
                <w:b/>
                <w:sz w:val="16"/>
                <w:szCs w:val="16"/>
                <w:lang w:val="fr-FR"/>
              </w:rPr>
              <w:t>Griefs soulevés</w:t>
            </w:r>
          </w:p>
        </w:tc>
        <w:tc>
          <w:tcPr>
            <w:tcW w:w="2407" w:type="pct"/>
            <w:shd w:val="clear" w:color="auto" w:fill="E0E0E0"/>
            <w:vAlign w:val="center"/>
          </w:tcPr>
          <w:p w:rsidR="007804D1" w:rsidRPr="00D07C7C" w:rsidRDefault="007804D1" w:rsidP="00D07C7C">
            <w:pPr>
              <w:pStyle w:val="ECHRPara"/>
              <w:jc w:val="center"/>
              <w:rPr>
                <w:rFonts w:cstheme="minorHAnsi"/>
                <w:b/>
                <w:sz w:val="16"/>
                <w:szCs w:val="16"/>
                <w:lang w:val="fr-FR"/>
              </w:rPr>
            </w:pPr>
            <w:r w:rsidRPr="00D07C7C">
              <w:rPr>
                <w:rFonts w:cstheme="minorHAnsi"/>
                <w:b/>
                <w:sz w:val="16"/>
                <w:szCs w:val="16"/>
                <w:lang w:val="fr-FR"/>
              </w:rPr>
              <w:t>Nom du requérant</w:t>
            </w:r>
          </w:p>
          <w:p w:rsidR="007804D1" w:rsidRPr="00D07C7C" w:rsidRDefault="007804D1" w:rsidP="00D07C7C">
            <w:pPr>
              <w:pStyle w:val="ECHRPara"/>
              <w:jc w:val="center"/>
              <w:rPr>
                <w:rFonts w:cstheme="minorHAnsi"/>
                <w:b/>
                <w:sz w:val="16"/>
                <w:szCs w:val="16"/>
                <w:lang w:val="fr-FR"/>
              </w:rPr>
            </w:pPr>
            <w:r w:rsidRPr="00D07C7C">
              <w:rPr>
                <w:rFonts w:cstheme="minorHAnsi"/>
                <w:b/>
                <w:sz w:val="16"/>
                <w:szCs w:val="16"/>
                <w:lang w:val="fr-FR"/>
              </w:rPr>
              <w:t>Date de naissance – Nationalité</w:t>
            </w:r>
          </w:p>
          <w:p w:rsidR="007804D1" w:rsidRPr="00D07C7C" w:rsidRDefault="007804D1" w:rsidP="00D07C7C">
            <w:pPr>
              <w:pStyle w:val="ECHRPara"/>
              <w:jc w:val="center"/>
              <w:rPr>
                <w:rFonts w:cstheme="minorHAnsi"/>
                <w:b/>
                <w:sz w:val="16"/>
                <w:szCs w:val="16"/>
                <w:lang w:val="fr-FR"/>
              </w:rPr>
            </w:pPr>
            <w:r w:rsidRPr="00D07C7C">
              <w:rPr>
                <w:rFonts w:cstheme="minorHAnsi"/>
                <w:b/>
                <w:sz w:val="16"/>
                <w:szCs w:val="16"/>
                <w:lang w:val="fr-FR"/>
              </w:rPr>
              <w:t>Lieu de résidence</w:t>
            </w:r>
          </w:p>
        </w:tc>
      </w:tr>
      <w:tr w:rsidR="007804D1" w:rsidRPr="00D07C7C" w:rsidTr="00BE7CE0">
        <w:trPr>
          <w:trHeight w:val="711"/>
          <w:jc w:val="center"/>
        </w:trPr>
        <w:tc>
          <w:tcPr>
            <w:tcW w:w="133" w:type="pct"/>
            <w:shd w:val="clear" w:color="auto" w:fill="auto"/>
            <w:vAlign w:val="center"/>
          </w:tcPr>
          <w:p w:rsidR="007804D1" w:rsidRPr="00D07C7C" w:rsidRDefault="007804D1" w:rsidP="00D07C7C">
            <w:pPr>
              <w:numPr>
                <w:ilvl w:val="0"/>
                <w:numId w:val="26"/>
              </w:numPr>
              <w:suppressAutoHyphens/>
              <w:ind w:left="357" w:hanging="357"/>
              <w:jc w:val="left"/>
              <w:rPr>
                <w:rFonts w:cstheme="minorHAnsi"/>
                <w:b/>
                <w:sz w:val="16"/>
                <w:szCs w:val="16"/>
                <w:lang w:val="fr-FR"/>
              </w:rPr>
            </w:pPr>
          </w:p>
        </w:tc>
        <w:tc>
          <w:tcPr>
            <w:tcW w:w="2460" w:type="pct"/>
            <w:shd w:val="clear" w:color="auto" w:fill="auto"/>
            <w:vAlign w:val="center"/>
          </w:tcPr>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Numéro de requête : 12131/13</w:t>
            </w:r>
          </w:p>
          <w:p w:rsidR="007804D1" w:rsidRPr="00D07C7C" w:rsidRDefault="007804D1" w:rsidP="00D07C7C">
            <w:pPr>
              <w:suppressAutoHyphens/>
              <w:jc w:val="center"/>
              <w:rPr>
                <w:rFonts w:cstheme="minorHAnsi"/>
                <w:b/>
                <w:sz w:val="16"/>
                <w:szCs w:val="16"/>
                <w:lang w:val="fr-FR"/>
              </w:rPr>
            </w:pP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Introduite le 03/01/2013</w:t>
            </w:r>
          </w:p>
          <w:p w:rsidR="007804D1" w:rsidRPr="00D07C7C" w:rsidRDefault="007804D1" w:rsidP="00D07C7C">
            <w:pPr>
              <w:suppressAutoHyphens/>
              <w:jc w:val="center"/>
              <w:rPr>
                <w:rFonts w:cstheme="minorHAnsi"/>
                <w:b/>
                <w:sz w:val="16"/>
                <w:szCs w:val="16"/>
                <w:lang w:val="fr-FR"/>
              </w:rPr>
            </w:pPr>
          </w:p>
          <w:p w:rsidR="007804D1" w:rsidRPr="00D07C7C" w:rsidRDefault="007804D1" w:rsidP="00D07C7C">
            <w:pPr>
              <w:jc w:val="center"/>
              <w:rPr>
                <w:rFonts w:cstheme="minorHAnsi"/>
                <w:sz w:val="16"/>
                <w:szCs w:val="16"/>
                <w:lang w:val="fr-FR"/>
              </w:rPr>
            </w:pPr>
            <w:r w:rsidRPr="00D07C7C">
              <w:rPr>
                <w:rFonts w:cstheme="minorHAnsi"/>
                <w:sz w:val="16"/>
                <w:szCs w:val="16"/>
                <w:lang w:val="fr-FR"/>
              </w:rPr>
              <w:t>Art. 3 : torture et traitements inhumains et dégradants ;</w:t>
            </w:r>
          </w:p>
          <w:p w:rsidR="007804D1" w:rsidRPr="00D07C7C" w:rsidRDefault="007804D1" w:rsidP="00D07C7C">
            <w:pPr>
              <w:jc w:val="center"/>
              <w:rPr>
                <w:rFonts w:cstheme="minorHAnsi"/>
                <w:sz w:val="16"/>
                <w:szCs w:val="16"/>
                <w:lang w:val="fr-FR"/>
              </w:rPr>
            </w:pPr>
          </w:p>
          <w:p w:rsidR="007804D1" w:rsidRPr="00D07C7C" w:rsidRDefault="007804D1" w:rsidP="00D07C7C">
            <w:pPr>
              <w:jc w:val="center"/>
              <w:rPr>
                <w:rFonts w:cstheme="minorHAnsi"/>
                <w:sz w:val="16"/>
                <w:szCs w:val="16"/>
                <w:lang w:val="fr-FR"/>
              </w:rPr>
            </w:pPr>
            <w:r w:rsidRPr="00D07C7C">
              <w:rPr>
                <w:rFonts w:cstheme="minorHAnsi"/>
                <w:sz w:val="16"/>
                <w:szCs w:val="16"/>
                <w:lang w:val="fr-FR"/>
              </w:rPr>
              <w:t>Arts 3 et 13 : absence d</w:t>
            </w:r>
            <w:r w:rsidR="00D07C7C" w:rsidRPr="00D07C7C">
              <w:rPr>
                <w:rFonts w:cstheme="minorHAnsi"/>
                <w:sz w:val="16"/>
                <w:szCs w:val="16"/>
                <w:lang w:val="fr-FR"/>
              </w:rPr>
              <w:t>’</w:t>
            </w:r>
            <w:r w:rsidRPr="00D07C7C">
              <w:rPr>
                <w:rFonts w:cstheme="minorHAnsi"/>
                <w:sz w:val="16"/>
                <w:szCs w:val="16"/>
                <w:lang w:val="fr-FR"/>
              </w:rPr>
              <w:t>une enquête effective.</w:t>
            </w:r>
          </w:p>
          <w:p w:rsidR="007804D1" w:rsidRPr="00D07C7C" w:rsidRDefault="007804D1" w:rsidP="00D07C7C">
            <w:pPr>
              <w:suppressAutoHyphens/>
              <w:jc w:val="left"/>
              <w:rPr>
                <w:rFonts w:cstheme="minorHAnsi"/>
                <w:sz w:val="16"/>
                <w:szCs w:val="16"/>
                <w:lang w:val="fr-FR"/>
              </w:rPr>
            </w:pPr>
          </w:p>
        </w:tc>
        <w:tc>
          <w:tcPr>
            <w:tcW w:w="2407" w:type="pct"/>
            <w:shd w:val="clear" w:color="auto" w:fill="auto"/>
            <w:vAlign w:val="center"/>
          </w:tcPr>
          <w:p w:rsidR="007804D1" w:rsidRPr="00D07C7C" w:rsidRDefault="007804D1" w:rsidP="00D07C7C">
            <w:pPr>
              <w:suppressAutoHyphens/>
              <w:jc w:val="center"/>
              <w:rPr>
                <w:rFonts w:cstheme="minorHAnsi"/>
                <w:b/>
                <w:sz w:val="16"/>
                <w:szCs w:val="16"/>
                <w:lang w:val="fr-FR"/>
              </w:rPr>
            </w:pPr>
          </w:p>
          <w:p w:rsidR="007804D1" w:rsidRPr="00D07C7C" w:rsidRDefault="007804D1" w:rsidP="00D07C7C">
            <w:pPr>
              <w:suppressAutoHyphens/>
              <w:jc w:val="center"/>
              <w:rPr>
                <w:rFonts w:cstheme="minorHAnsi"/>
                <w:b/>
                <w:sz w:val="16"/>
                <w:szCs w:val="16"/>
                <w:lang w:val="it-IT"/>
              </w:rPr>
            </w:pPr>
            <w:r w:rsidRPr="00D07C7C">
              <w:rPr>
                <w:rFonts w:cstheme="minorHAnsi"/>
                <w:b/>
                <w:sz w:val="16"/>
                <w:szCs w:val="16"/>
                <w:lang w:val="it-IT"/>
              </w:rPr>
              <w:t>1. Sara BARTESAGHI GALLO</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07/05/1980 – Italienne</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Paris (France)</w:t>
            </w:r>
          </w:p>
          <w:p w:rsidR="007804D1" w:rsidRPr="00D07C7C" w:rsidRDefault="007804D1" w:rsidP="00D07C7C">
            <w:pPr>
              <w:suppressAutoHyphens/>
              <w:jc w:val="center"/>
              <w:rPr>
                <w:rFonts w:cstheme="minorHAnsi"/>
                <w:sz w:val="16"/>
                <w:szCs w:val="16"/>
                <w:lang w:val="it-IT"/>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2. Nicola Anne DOHERTY</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24/07/1974 – Britannique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Londres (Royaume Uni)</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3. Jan Farrel GALLOWAY</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21/03/1975 – Américaine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Philadelphie (États Unis)</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4. Richard Robert MOTH</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09/11/1968 – Britannique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Londres (Royaume Uni)</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5. Achim NATHRATH</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31/12/1969 – Allemande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Munich (Allemagne)</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6. Theresa TREIBER</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09/08/1967 – Allemande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Munich (Allemagne)</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it-IT"/>
              </w:rPr>
            </w:pPr>
            <w:r w:rsidRPr="00D07C7C">
              <w:rPr>
                <w:rFonts w:cstheme="minorHAnsi"/>
                <w:b/>
                <w:sz w:val="16"/>
                <w:szCs w:val="16"/>
                <w:lang w:val="it-IT"/>
              </w:rPr>
              <w:t>7. Anna Katharina ZEUNER</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04/09/1978 – Allemande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Berlin (Allemagne)</w:t>
            </w:r>
          </w:p>
          <w:p w:rsidR="007804D1" w:rsidRPr="00D07C7C" w:rsidRDefault="007804D1" w:rsidP="00D07C7C">
            <w:pPr>
              <w:suppressAutoHyphens/>
              <w:jc w:val="center"/>
              <w:rPr>
                <w:rFonts w:cstheme="minorHAnsi"/>
                <w:sz w:val="16"/>
                <w:szCs w:val="16"/>
                <w:lang w:val="fr-FR"/>
              </w:rPr>
            </w:pPr>
          </w:p>
        </w:tc>
      </w:tr>
      <w:tr w:rsidR="007804D1" w:rsidRPr="00D07C7C" w:rsidTr="00BE7CE0">
        <w:trPr>
          <w:trHeight w:val="711"/>
          <w:jc w:val="center"/>
        </w:trPr>
        <w:tc>
          <w:tcPr>
            <w:tcW w:w="133" w:type="pct"/>
            <w:shd w:val="clear" w:color="auto" w:fill="auto"/>
            <w:vAlign w:val="center"/>
          </w:tcPr>
          <w:p w:rsidR="007804D1" w:rsidRPr="00D07C7C" w:rsidRDefault="007804D1" w:rsidP="00D07C7C">
            <w:pPr>
              <w:numPr>
                <w:ilvl w:val="0"/>
                <w:numId w:val="26"/>
              </w:numPr>
              <w:suppressAutoHyphens/>
              <w:ind w:left="357" w:hanging="357"/>
              <w:jc w:val="left"/>
              <w:rPr>
                <w:rFonts w:cstheme="minorHAnsi"/>
                <w:b/>
                <w:sz w:val="16"/>
                <w:szCs w:val="16"/>
                <w:lang w:val="fr-FR"/>
              </w:rPr>
            </w:pPr>
          </w:p>
        </w:tc>
        <w:tc>
          <w:tcPr>
            <w:tcW w:w="2460" w:type="pct"/>
            <w:shd w:val="clear" w:color="auto" w:fill="auto"/>
            <w:vAlign w:val="center"/>
          </w:tcPr>
          <w:p w:rsidR="007804D1" w:rsidRPr="00D07C7C" w:rsidRDefault="007804D1" w:rsidP="00D07C7C">
            <w:pPr>
              <w:suppressAutoHyphens/>
              <w:jc w:val="left"/>
              <w:rPr>
                <w:rFonts w:cstheme="minorHAnsi"/>
                <w:sz w:val="16"/>
                <w:szCs w:val="16"/>
                <w:lang w:val="it-IT"/>
              </w:rPr>
            </w:pPr>
          </w:p>
          <w:p w:rsidR="007804D1" w:rsidRPr="00D07C7C" w:rsidRDefault="007804D1" w:rsidP="00D07C7C">
            <w:pPr>
              <w:suppressAutoHyphens/>
              <w:jc w:val="left"/>
              <w:rPr>
                <w:rFonts w:cstheme="minorHAnsi"/>
                <w:sz w:val="16"/>
                <w:szCs w:val="16"/>
                <w:lang w:val="it-IT"/>
              </w:rPr>
            </w:pPr>
          </w:p>
          <w:p w:rsidR="007804D1" w:rsidRPr="00D07C7C" w:rsidRDefault="007804D1" w:rsidP="00D07C7C">
            <w:pPr>
              <w:suppressAutoHyphens/>
              <w:jc w:val="center"/>
              <w:rPr>
                <w:rFonts w:cstheme="minorHAnsi"/>
                <w:b/>
                <w:sz w:val="16"/>
                <w:szCs w:val="16"/>
                <w:lang w:val="it-IT"/>
              </w:rPr>
            </w:pPr>
            <w:r w:rsidRPr="00D07C7C">
              <w:rPr>
                <w:rFonts w:cstheme="minorHAnsi"/>
                <w:b/>
                <w:sz w:val="16"/>
                <w:szCs w:val="16"/>
                <w:lang w:val="it-IT"/>
              </w:rPr>
              <w:t>Numéro de requête: 43390/13</w:t>
            </w:r>
          </w:p>
          <w:p w:rsidR="007804D1" w:rsidRPr="00D07C7C" w:rsidRDefault="007804D1" w:rsidP="00D07C7C">
            <w:pPr>
              <w:suppressAutoHyphens/>
              <w:jc w:val="center"/>
              <w:rPr>
                <w:rFonts w:cstheme="minorHAnsi"/>
                <w:b/>
                <w:sz w:val="16"/>
                <w:szCs w:val="16"/>
                <w:lang w:val="it-IT"/>
              </w:rPr>
            </w:pPr>
          </w:p>
          <w:p w:rsidR="007804D1" w:rsidRPr="00D07C7C" w:rsidRDefault="007804D1" w:rsidP="00D07C7C">
            <w:pPr>
              <w:suppressAutoHyphens/>
              <w:jc w:val="center"/>
              <w:rPr>
                <w:rFonts w:cstheme="minorHAnsi"/>
                <w:b/>
                <w:sz w:val="16"/>
                <w:szCs w:val="16"/>
                <w:lang w:val="it-IT"/>
              </w:rPr>
            </w:pPr>
            <w:r w:rsidRPr="00D07C7C">
              <w:rPr>
                <w:rFonts w:cstheme="minorHAnsi"/>
                <w:sz w:val="16"/>
                <w:szCs w:val="16"/>
                <w:lang w:val="it-IT"/>
              </w:rPr>
              <w:t>Introduite le 30/03/2013</w:t>
            </w:r>
          </w:p>
          <w:p w:rsidR="007804D1" w:rsidRPr="00D07C7C" w:rsidRDefault="007804D1" w:rsidP="00D07C7C">
            <w:pPr>
              <w:jc w:val="center"/>
              <w:rPr>
                <w:rFonts w:cstheme="minorHAnsi"/>
                <w:sz w:val="16"/>
                <w:szCs w:val="16"/>
                <w:lang w:val="fr-FR"/>
              </w:rPr>
            </w:pPr>
          </w:p>
          <w:p w:rsidR="007804D1" w:rsidRPr="00D07C7C" w:rsidRDefault="007804D1" w:rsidP="00D07C7C">
            <w:pPr>
              <w:jc w:val="center"/>
              <w:rPr>
                <w:rFonts w:cstheme="minorHAnsi"/>
                <w:sz w:val="16"/>
                <w:szCs w:val="16"/>
                <w:lang w:val="fr-FR"/>
              </w:rPr>
            </w:pPr>
            <w:r w:rsidRPr="00D07C7C">
              <w:rPr>
                <w:rFonts w:cstheme="minorHAnsi"/>
                <w:sz w:val="16"/>
                <w:szCs w:val="16"/>
                <w:lang w:val="fr-FR"/>
              </w:rPr>
              <w:t>Art. 3 : torture et traitements inhumains et dégradants ;</w:t>
            </w:r>
          </w:p>
          <w:p w:rsidR="007804D1" w:rsidRPr="00D07C7C" w:rsidRDefault="007804D1" w:rsidP="00D07C7C">
            <w:pPr>
              <w:jc w:val="center"/>
              <w:rPr>
                <w:rFonts w:cstheme="minorHAnsi"/>
                <w:sz w:val="16"/>
                <w:szCs w:val="16"/>
                <w:lang w:val="fr-FR"/>
              </w:rPr>
            </w:pPr>
          </w:p>
          <w:p w:rsidR="007804D1" w:rsidRPr="00D07C7C" w:rsidRDefault="007804D1" w:rsidP="00D07C7C">
            <w:pPr>
              <w:jc w:val="center"/>
              <w:rPr>
                <w:rFonts w:cstheme="minorHAnsi"/>
                <w:sz w:val="16"/>
                <w:szCs w:val="16"/>
                <w:lang w:val="fr-FR"/>
              </w:rPr>
            </w:pPr>
            <w:r w:rsidRPr="00D07C7C">
              <w:rPr>
                <w:rFonts w:cstheme="minorHAnsi"/>
                <w:sz w:val="16"/>
                <w:szCs w:val="16"/>
                <w:lang w:val="fr-FR"/>
              </w:rPr>
              <w:t>Art. 3 : défaut d</w:t>
            </w:r>
            <w:r w:rsidR="00D07C7C" w:rsidRPr="00D07C7C">
              <w:rPr>
                <w:rFonts w:cstheme="minorHAnsi"/>
                <w:sz w:val="16"/>
                <w:szCs w:val="16"/>
                <w:lang w:val="fr-FR"/>
              </w:rPr>
              <w:t>’</w:t>
            </w:r>
            <w:r w:rsidRPr="00D07C7C">
              <w:rPr>
                <w:rFonts w:cstheme="minorHAnsi"/>
                <w:sz w:val="16"/>
                <w:szCs w:val="16"/>
                <w:lang w:val="fr-FR"/>
              </w:rPr>
              <w:t>identification des auteurs des vexations ;</w:t>
            </w:r>
          </w:p>
          <w:p w:rsidR="007804D1" w:rsidRPr="00D07C7C" w:rsidRDefault="007804D1" w:rsidP="00D07C7C">
            <w:pPr>
              <w:jc w:val="center"/>
              <w:rPr>
                <w:rFonts w:cstheme="minorHAnsi"/>
                <w:sz w:val="16"/>
                <w:szCs w:val="16"/>
                <w:lang w:val="fr-FR"/>
              </w:rPr>
            </w:pPr>
          </w:p>
          <w:p w:rsidR="007804D1" w:rsidRPr="00D07C7C" w:rsidRDefault="007804D1" w:rsidP="00D07C7C">
            <w:pPr>
              <w:jc w:val="center"/>
              <w:rPr>
                <w:rFonts w:cstheme="minorHAnsi"/>
                <w:sz w:val="16"/>
                <w:szCs w:val="16"/>
                <w:lang w:val="fr-FR"/>
              </w:rPr>
            </w:pPr>
            <w:r w:rsidRPr="00D07C7C">
              <w:rPr>
                <w:rFonts w:cstheme="minorHAnsi"/>
                <w:sz w:val="16"/>
                <w:szCs w:val="16"/>
                <w:lang w:val="fr-FR"/>
              </w:rPr>
              <w:t>Arts 3 et 13 : absence d</w:t>
            </w:r>
            <w:r w:rsidR="00D07C7C" w:rsidRPr="00D07C7C">
              <w:rPr>
                <w:rFonts w:cstheme="minorHAnsi"/>
                <w:sz w:val="16"/>
                <w:szCs w:val="16"/>
                <w:lang w:val="fr-FR"/>
              </w:rPr>
              <w:t>’</w:t>
            </w:r>
            <w:r w:rsidRPr="00D07C7C">
              <w:rPr>
                <w:rFonts w:cstheme="minorHAnsi"/>
                <w:sz w:val="16"/>
                <w:szCs w:val="16"/>
                <w:lang w:val="fr-FR"/>
              </w:rPr>
              <w:t>une enquête effective ;</w:t>
            </w:r>
          </w:p>
          <w:p w:rsidR="007804D1" w:rsidRPr="00D07C7C" w:rsidRDefault="007804D1" w:rsidP="00D07C7C">
            <w:pPr>
              <w:jc w:val="center"/>
              <w:rPr>
                <w:rFonts w:cstheme="minorHAnsi"/>
                <w:sz w:val="16"/>
                <w:szCs w:val="16"/>
                <w:lang w:val="fr-FR"/>
              </w:rPr>
            </w:pPr>
          </w:p>
          <w:p w:rsidR="007804D1" w:rsidRPr="00D07C7C" w:rsidRDefault="007804D1" w:rsidP="00D07C7C">
            <w:pPr>
              <w:jc w:val="center"/>
              <w:rPr>
                <w:rFonts w:cstheme="minorHAnsi"/>
                <w:sz w:val="16"/>
                <w:szCs w:val="16"/>
                <w:lang w:val="fr-FR"/>
              </w:rPr>
            </w:pPr>
            <w:r w:rsidRPr="00D07C7C">
              <w:rPr>
                <w:rFonts w:cstheme="minorHAnsi"/>
                <w:sz w:val="16"/>
                <w:szCs w:val="16"/>
                <w:lang w:val="fr-FR"/>
              </w:rPr>
              <w:t>Art. 5 § 2 : absence d</w:t>
            </w:r>
            <w:r w:rsidR="00D07C7C" w:rsidRPr="00D07C7C">
              <w:rPr>
                <w:rFonts w:cstheme="minorHAnsi"/>
                <w:sz w:val="16"/>
                <w:szCs w:val="16"/>
                <w:lang w:val="fr-FR"/>
              </w:rPr>
              <w:t>’</w:t>
            </w:r>
            <w:r w:rsidRPr="00D07C7C">
              <w:rPr>
                <w:rFonts w:cstheme="minorHAnsi"/>
                <w:sz w:val="16"/>
                <w:szCs w:val="16"/>
                <w:lang w:val="fr-FR"/>
              </w:rPr>
              <w:t>informations sur les raisons de l</w:t>
            </w:r>
            <w:r w:rsidR="00D07C7C" w:rsidRPr="00D07C7C">
              <w:rPr>
                <w:rFonts w:cstheme="minorHAnsi"/>
                <w:sz w:val="16"/>
                <w:szCs w:val="16"/>
                <w:lang w:val="fr-FR"/>
              </w:rPr>
              <w:t>’</w:t>
            </w:r>
            <w:r w:rsidRPr="00D07C7C">
              <w:rPr>
                <w:rFonts w:cstheme="minorHAnsi"/>
                <w:sz w:val="16"/>
                <w:szCs w:val="16"/>
                <w:lang w:val="fr-FR"/>
              </w:rPr>
              <w:t>arrestation ;</w:t>
            </w:r>
          </w:p>
          <w:p w:rsidR="007804D1" w:rsidRPr="00D07C7C" w:rsidRDefault="007804D1" w:rsidP="00D07C7C">
            <w:pPr>
              <w:jc w:val="center"/>
              <w:rPr>
                <w:rFonts w:cstheme="minorHAnsi"/>
                <w:sz w:val="16"/>
                <w:szCs w:val="16"/>
                <w:lang w:val="fr-FR"/>
              </w:rPr>
            </w:pPr>
          </w:p>
          <w:p w:rsidR="007804D1" w:rsidRPr="00D07C7C" w:rsidRDefault="007804D1" w:rsidP="00D07C7C">
            <w:pPr>
              <w:jc w:val="center"/>
              <w:rPr>
                <w:rFonts w:cstheme="minorHAnsi"/>
                <w:sz w:val="16"/>
                <w:szCs w:val="16"/>
                <w:lang w:val="fr-FR"/>
              </w:rPr>
            </w:pPr>
            <w:r w:rsidRPr="00D07C7C">
              <w:rPr>
                <w:rFonts w:cstheme="minorHAnsi"/>
                <w:sz w:val="16"/>
                <w:szCs w:val="16"/>
                <w:lang w:val="fr-FR"/>
              </w:rPr>
              <w:t>Arts 9, 10 et 11 : violation de la liberté d</w:t>
            </w:r>
            <w:r w:rsidR="00D07C7C" w:rsidRPr="00D07C7C">
              <w:rPr>
                <w:rFonts w:cstheme="minorHAnsi"/>
                <w:sz w:val="16"/>
                <w:szCs w:val="16"/>
                <w:lang w:val="fr-FR"/>
              </w:rPr>
              <w:t>’</w:t>
            </w:r>
            <w:r w:rsidRPr="00D07C7C">
              <w:rPr>
                <w:rFonts w:cstheme="minorHAnsi"/>
                <w:sz w:val="16"/>
                <w:szCs w:val="16"/>
                <w:lang w:val="fr-FR"/>
              </w:rPr>
              <w:t>avoir des convictions, de la liberté d</w:t>
            </w:r>
            <w:r w:rsidR="00D07C7C" w:rsidRPr="00D07C7C">
              <w:rPr>
                <w:rFonts w:cstheme="minorHAnsi"/>
                <w:sz w:val="16"/>
                <w:szCs w:val="16"/>
                <w:lang w:val="fr-FR"/>
              </w:rPr>
              <w:t>’</w:t>
            </w:r>
            <w:r w:rsidRPr="00D07C7C">
              <w:rPr>
                <w:rFonts w:cstheme="minorHAnsi"/>
                <w:sz w:val="16"/>
                <w:szCs w:val="16"/>
                <w:lang w:val="fr-FR"/>
              </w:rPr>
              <w:t>expression et de la liberté de réunion ;</w:t>
            </w:r>
          </w:p>
          <w:p w:rsidR="007804D1" w:rsidRPr="00D07C7C" w:rsidRDefault="007804D1" w:rsidP="00D07C7C">
            <w:pPr>
              <w:jc w:val="center"/>
              <w:rPr>
                <w:rFonts w:cstheme="minorHAnsi"/>
                <w:sz w:val="16"/>
                <w:szCs w:val="16"/>
                <w:lang w:val="fr-FR"/>
              </w:rPr>
            </w:pP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Article 14 combiné avec les articles 3, 9, 10, 11 : victimes de violences en raison de leurs opinions politiques.</w:t>
            </w:r>
          </w:p>
        </w:tc>
        <w:tc>
          <w:tcPr>
            <w:tcW w:w="2407" w:type="pct"/>
            <w:shd w:val="clear" w:color="auto" w:fill="auto"/>
            <w:vAlign w:val="center"/>
          </w:tcPr>
          <w:p w:rsidR="007804D1" w:rsidRPr="00D07C7C" w:rsidRDefault="007804D1" w:rsidP="00D07C7C">
            <w:pPr>
              <w:suppressAutoHyphens/>
              <w:jc w:val="center"/>
              <w:rPr>
                <w:rFonts w:cstheme="minorHAnsi"/>
                <w:b/>
                <w:sz w:val="16"/>
                <w:szCs w:val="16"/>
                <w:lang w:val="fr-FR"/>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1. Daniel Thomas ALBRECHT</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09/11/1979 – Allemande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Berlin (Allemagne)</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it-IT"/>
              </w:rPr>
            </w:pPr>
            <w:r w:rsidRPr="00D07C7C">
              <w:rPr>
                <w:rFonts w:cstheme="minorHAnsi"/>
                <w:b/>
                <w:sz w:val="16"/>
                <w:szCs w:val="16"/>
                <w:lang w:val="it-IT"/>
              </w:rPr>
              <w:t>2. Aitor Ruiz BALBAS</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09/10/1970 – Espagnole</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Pamplona (Espagne)</w:t>
            </w:r>
          </w:p>
          <w:p w:rsidR="007804D1" w:rsidRPr="00D07C7C" w:rsidRDefault="007804D1" w:rsidP="00D07C7C">
            <w:pPr>
              <w:suppressAutoHyphens/>
              <w:jc w:val="center"/>
              <w:rPr>
                <w:rFonts w:cstheme="minorHAnsi"/>
                <w:sz w:val="16"/>
                <w:szCs w:val="16"/>
                <w:lang w:val="it-IT"/>
              </w:rPr>
            </w:pPr>
          </w:p>
          <w:p w:rsidR="007804D1" w:rsidRPr="00D07C7C" w:rsidRDefault="007804D1" w:rsidP="00D07C7C">
            <w:pPr>
              <w:suppressAutoHyphens/>
              <w:jc w:val="center"/>
              <w:rPr>
                <w:rFonts w:cstheme="minorHAnsi"/>
                <w:b/>
                <w:sz w:val="16"/>
                <w:szCs w:val="16"/>
                <w:lang w:val="it-IT"/>
              </w:rPr>
            </w:pPr>
            <w:r w:rsidRPr="00D07C7C">
              <w:rPr>
                <w:rFonts w:cstheme="minorHAnsi"/>
                <w:b/>
                <w:sz w:val="16"/>
                <w:szCs w:val="16"/>
                <w:lang w:val="it-IT"/>
              </w:rPr>
              <w:t>3. Matteo BERTOLA</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04/07/1977 – Italienne</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Lecco (Italie)</w:t>
            </w:r>
          </w:p>
          <w:p w:rsidR="007804D1" w:rsidRPr="00D07C7C" w:rsidRDefault="007804D1" w:rsidP="00D07C7C">
            <w:pPr>
              <w:suppressAutoHyphens/>
              <w:jc w:val="center"/>
              <w:rPr>
                <w:rFonts w:cstheme="minorHAnsi"/>
                <w:sz w:val="16"/>
                <w:szCs w:val="16"/>
                <w:lang w:val="it-IT"/>
              </w:rPr>
            </w:pPr>
          </w:p>
          <w:p w:rsidR="007804D1" w:rsidRPr="00D07C7C" w:rsidRDefault="007804D1" w:rsidP="00D07C7C">
            <w:pPr>
              <w:suppressAutoHyphens/>
              <w:jc w:val="center"/>
              <w:rPr>
                <w:rFonts w:cstheme="minorHAnsi"/>
                <w:b/>
                <w:sz w:val="16"/>
                <w:szCs w:val="16"/>
                <w:lang w:val="it-IT"/>
              </w:rPr>
            </w:pPr>
            <w:r w:rsidRPr="00D07C7C">
              <w:rPr>
                <w:rFonts w:cstheme="minorHAnsi"/>
                <w:b/>
                <w:sz w:val="16"/>
                <w:szCs w:val="16"/>
                <w:lang w:val="it-IT"/>
              </w:rPr>
              <w:t>4. Valeria BRUSCHI</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26/02/1975 – Italienne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Berlin (Allemagne)</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5. Michal CHMIELEWSKI</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25/10/1975 – Polonaise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Dublin (Irlande)</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6. Benjamin COELLE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03/02/1980 – Allemande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Stuttgart (Allemagne)</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it-IT"/>
              </w:rPr>
            </w:pPr>
            <w:r w:rsidRPr="00D07C7C">
              <w:rPr>
                <w:rFonts w:cstheme="minorHAnsi"/>
                <w:b/>
                <w:sz w:val="16"/>
                <w:szCs w:val="16"/>
                <w:lang w:val="it-IT"/>
              </w:rPr>
              <w:t>7. Simona DIGENTI</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09/03/1980 – Suisse</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Rumlang (Suisse)</w:t>
            </w:r>
          </w:p>
          <w:p w:rsidR="007804D1" w:rsidRPr="00D07C7C" w:rsidRDefault="007804D1" w:rsidP="00D07C7C">
            <w:pPr>
              <w:suppressAutoHyphens/>
              <w:jc w:val="center"/>
              <w:rPr>
                <w:rFonts w:cstheme="minorHAnsi"/>
                <w:sz w:val="16"/>
                <w:szCs w:val="16"/>
                <w:lang w:val="it-IT"/>
              </w:rPr>
            </w:pPr>
          </w:p>
          <w:p w:rsidR="007804D1" w:rsidRPr="00D07C7C" w:rsidRDefault="007804D1" w:rsidP="00D07C7C">
            <w:pPr>
              <w:suppressAutoHyphens/>
              <w:jc w:val="center"/>
              <w:rPr>
                <w:rFonts w:cstheme="minorHAnsi"/>
                <w:b/>
                <w:sz w:val="16"/>
                <w:szCs w:val="16"/>
                <w:lang w:val="it-IT"/>
              </w:rPr>
            </w:pPr>
            <w:r w:rsidRPr="00D07C7C">
              <w:rPr>
                <w:rFonts w:cstheme="minorHAnsi"/>
                <w:b/>
                <w:sz w:val="16"/>
                <w:szCs w:val="16"/>
                <w:lang w:val="it-IT"/>
              </w:rPr>
              <w:t>8. Rosana ALLUEVA FORTEA</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16/09/1980 – Espagnole</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Monreal Del Campo (Espagne)</w:t>
            </w:r>
          </w:p>
          <w:p w:rsidR="007804D1" w:rsidRPr="00D07C7C" w:rsidRDefault="007804D1" w:rsidP="00D07C7C">
            <w:pPr>
              <w:suppressAutoHyphens/>
              <w:jc w:val="center"/>
              <w:rPr>
                <w:rFonts w:cstheme="minorHAnsi"/>
                <w:sz w:val="16"/>
                <w:szCs w:val="16"/>
                <w:lang w:val="it-IT"/>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9. Michael GIESER</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12/11/1965 – Suédoise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Mondorf-Les-Bains (Luxembourg)</w:t>
            </w:r>
          </w:p>
          <w:p w:rsidR="007804D1" w:rsidRPr="00D07C7C" w:rsidRDefault="007804D1" w:rsidP="00D07C7C">
            <w:pPr>
              <w:suppressAutoHyphens/>
              <w:jc w:val="center"/>
              <w:rPr>
                <w:rFonts w:cstheme="minorHAnsi"/>
                <w:sz w:val="16"/>
                <w:szCs w:val="16"/>
                <w:lang w:val="fr-FR"/>
              </w:rPr>
            </w:pPr>
          </w:p>
          <w:p w:rsidR="00F20E07" w:rsidRPr="00D07C7C" w:rsidRDefault="00F20E07" w:rsidP="00D07C7C">
            <w:pPr>
              <w:suppressAutoHyphens/>
              <w:jc w:val="center"/>
              <w:rPr>
                <w:rFonts w:cstheme="minorHAnsi"/>
                <w:b/>
                <w:sz w:val="16"/>
                <w:szCs w:val="16"/>
                <w:lang w:val="it-IT"/>
              </w:rPr>
            </w:pPr>
          </w:p>
          <w:p w:rsidR="00F20E07" w:rsidRPr="00D07C7C" w:rsidRDefault="00F20E07" w:rsidP="00D07C7C">
            <w:pPr>
              <w:suppressAutoHyphens/>
              <w:jc w:val="center"/>
              <w:rPr>
                <w:rFonts w:cstheme="minorHAnsi"/>
                <w:b/>
                <w:sz w:val="16"/>
                <w:szCs w:val="16"/>
                <w:lang w:val="it-IT"/>
              </w:rPr>
            </w:pPr>
          </w:p>
          <w:p w:rsidR="007804D1" w:rsidRPr="00D07C7C" w:rsidRDefault="007804D1" w:rsidP="00D07C7C">
            <w:pPr>
              <w:suppressAutoHyphens/>
              <w:jc w:val="center"/>
              <w:rPr>
                <w:rFonts w:cstheme="minorHAnsi"/>
                <w:b/>
                <w:sz w:val="16"/>
                <w:szCs w:val="16"/>
                <w:lang w:val="it-IT"/>
              </w:rPr>
            </w:pPr>
            <w:r w:rsidRPr="00D07C7C">
              <w:rPr>
                <w:rFonts w:cstheme="minorHAnsi"/>
                <w:b/>
                <w:sz w:val="16"/>
                <w:szCs w:val="16"/>
                <w:lang w:val="it-IT"/>
              </w:rPr>
              <w:lastRenderedPageBreak/>
              <w:t>10. Yasar Suna GOL</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16/05/1965 – Turque</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Hoelstein (Suisse)</w:t>
            </w:r>
          </w:p>
          <w:p w:rsidR="007804D1" w:rsidRPr="00D07C7C" w:rsidRDefault="007804D1" w:rsidP="00D07C7C">
            <w:pPr>
              <w:suppressAutoHyphens/>
              <w:jc w:val="center"/>
              <w:rPr>
                <w:rFonts w:cstheme="minorHAnsi"/>
                <w:sz w:val="16"/>
                <w:szCs w:val="16"/>
                <w:lang w:val="it-IT"/>
              </w:rPr>
            </w:pPr>
          </w:p>
          <w:p w:rsidR="007804D1" w:rsidRPr="00D07C7C" w:rsidRDefault="007804D1" w:rsidP="00D07C7C">
            <w:pPr>
              <w:suppressAutoHyphens/>
              <w:jc w:val="center"/>
              <w:rPr>
                <w:rFonts w:cstheme="minorHAnsi"/>
                <w:b/>
                <w:sz w:val="16"/>
                <w:szCs w:val="16"/>
                <w:lang w:val="it-IT"/>
              </w:rPr>
            </w:pPr>
            <w:r w:rsidRPr="00D07C7C">
              <w:rPr>
                <w:rFonts w:cstheme="minorHAnsi"/>
                <w:b/>
                <w:sz w:val="16"/>
                <w:szCs w:val="16"/>
                <w:lang w:val="it-IT"/>
              </w:rPr>
              <w:t>11. Lorenzo GUADAGNUCCI PANCIOLI</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03/12/1963 – Italienne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Florence (Italie)</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12. Jens HERMANN</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13/10/1972 – Allemande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Berlin (Allemagne)</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13. Laura JAEGER</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15/02/1981 – Allemande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Barcelona (Espagne)</w:t>
            </w:r>
          </w:p>
          <w:p w:rsidR="007804D1" w:rsidRPr="00D07C7C" w:rsidRDefault="007804D1" w:rsidP="00D07C7C">
            <w:pPr>
              <w:suppressAutoHyphens/>
              <w:jc w:val="center"/>
              <w:rPr>
                <w:rFonts w:cstheme="minorHAnsi"/>
                <w:b/>
                <w:sz w:val="16"/>
                <w:szCs w:val="16"/>
                <w:lang w:val="fr-FR"/>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14. Holger KRESS</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25/07/1979 – Vénézuélienne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Teubingen (Allemagne)</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15. Anna Julia KUTSCHKAU</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23/06/1980 – Allemande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Berlin (Allemagne)</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it-IT"/>
              </w:rPr>
            </w:pPr>
            <w:r w:rsidRPr="00D07C7C">
              <w:rPr>
                <w:rFonts w:cstheme="minorHAnsi"/>
                <w:b/>
                <w:sz w:val="16"/>
                <w:szCs w:val="16"/>
                <w:lang w:val="it-IT"/>
              </w:rPr>
              <w:t>16. Francisco Javier MADRAZO SANZ</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03/12/1973 – Espagnole</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Saragosse (Espagne)</w:t>
            </w:r>
          </w:p>
          <w:p w:rsidR="007804D1" w:rsidRPr="00D07C7C" w:rsidRDefault="007804D1" w:rsidP="00D07C7C">
            <w:pPr>
              <w:suppressAutoHyphens/>
              <w:jc w:val="center"/>
              <w:rPr>
                <w:rFonts w:cstheme="minorHAnsi"/>
                <w:sz w:val="16"/>
                <w:szCs w:val="16"/>
                <w:lang w:val="it-IT"/>
              </w:rPr>
            </w:pPr>
          </w:p>
          <w:p w:rsidR="007804D1" w:rsidRPr="00D07C7C" w:rsidRDefault="007804D1" w:rsidP="00D07C7C">
            <w:pPr>
              <w:suppressAutoHyphens/>
              <w:jc w:val="center"/>
              <w:rPr>
                <w:rFonts w:cstheme="minorHAnsi"/>
                <w:b/>
                <w:sz w:val="16"/>
                <w:szCs w:val="16"/>
                <w:lang w:val="it-IT"/>
              </w:rPr>
            </w:pPr>
            <w:r w:rsidRPr="00D07C7C">
              <w:rPr>
                <w:rFonts w:cstheme="minorHAnsi"/>
                <w:b/>
                <w:sz w:val="16"/>
                <w:szCs w:val="16"/>
                <w:lang w:val="it-IT"/>
              </w:rPr>
              <w:t>17. Felix Pablo MARQUELLO</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05/11/1965 – Espagnole</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Saragosse (Espagne)</w:t>
            </w:r>
          </w:p>
          <w:p w:rsidR="007804D1" w:rsidRPr="00D07C7C" w:rsidRDefault="007804D1" w:rsidP="00D07C7C">
            <w:pPr>
              <w:suppressAutoHyphens/>
              <w:jc w:val="center"/>
              <w:rPr>
                <w:rFonts w:cstheme="minorHAnsi"/>
                <w:sz w:val="16"/>
                <w:szCs w:val="16"/>
                <w:lang w:val="it-IT"/>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18. Niels MARTENSEN</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08/01/1977 – Allemagne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Hambourg (Allemagne)</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it-IT"/>
              </w:rPr>
            </w:pPr>
            <w:r w:rsidRPr="00D07C7C">
              <w:rPr>
                <w:rFonts w:cstheme="minorHAnsi"/>
                <w:b/>
                <w:sz w:val="16"/>
                <w:szCs w:val="16"/>
                <w:lang w:val="it-IT"/>
              </w:rPr>
              <w:t>19. Ana MARTINEZ FERRER</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20/10/1975 – Espagnole</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Tarazona (Espagne)</w:t>
            </w:r>
          </w:p>
          <w:p w:rsidR="007804D1" w:rsidRPr="00D07C7C" w:rsidRDefault="007804D1" w:rsidP="00D07C7C">
            <w:pPr>
              <w:suppressAutoHyphens/>
              <w:jc w:val="center"/>
              <w:rPr>
                <w:rFonts w:cstheme="minorHAnsi"/>
                <w:sz w:val="16"/>
                <w:szCs w:val="16"/>
                <w:lang w:val="it-IT"/>
              </w:rPr>
            </w:pPr>
          </w:p>
          <w:p w:rsidR="00F20E07" w:rsidRPr="00D07C7C" w:rsidRDefault="00F20E07" w:rsidP="00D07C7C">
            <w:pPr>
              <w:suppressAutoHyphens/>
              <w:jc w:val="center"/>
              <w:rPr>
                <w:rFonts w:cstheme="minorHAnsi"/>
                <w:b/>
                <w:sz w:val="16"/>
                <w:szCs w:val="16"/>
                <w:lang w:val="it-IT"/>
              </w:rPr>
            </w:pPr>
          </w:p>
          <w:p w:rsidR="007804D1" w:rsidRPr="00D07C7C" w:rsidRDefault="007804D1" w:rsidP="00D07C7C">
            <w:pPr>
              <w:suppressAutoHyphens/>
              <w:jc w:val="center"/>
              <w:rPr>
                <w:rFonts w:cstheme="minorHAnsi"/>
                <w:b/>
                <w:sz w:val="16"/>
                <w:szCs w:val="16"/>
                <w:lang w:val="it-IT"/>
              </w:rPr>
            </w:pPr>
            <w:r w:rsidRPr="00D07C7C">
              <w:rPr>
                <w:rFonts w:cstheme="minorHAnsi"/>
                <w:b/>
                <w:sz w:val="16"/>
                <w:szCs w:val="16"/>
                <w:lang w:val="it-IT"/>
              </w:rPr>
              <w:t>20. Guillermo Paz MASSÓ</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28/09/1976 – Espagnole</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Saragosse (Espagne)</w:t>
            </w:r>
          </w:p>
          <w:p w:rsidR="007804D1" w:rsidRPr="00D07C7C" w:rsidRDefault="007804D1" w:rsidP="00D07C7C">
            <w:pPr>
              <w:suppressAutoHyphens/>
              <w:jc w:val="center"/>
              <w:rPr>
                <w:rFonts w:cstheme="minorHAnsi"/>
                <w:sz w:val="16"/>
                <w:szCs w:val="16"/>
                <w:lang w:val="it-IT"/>
              </w:rPr>
            </w:pPr>
          </w:p>
          <w:p w:rsidR="007804D1" w:rsidRPr="00D07C7C" w:rsidRDefault="007804D1" w:rsidP="00D07C7C">
            <w:pPr>
              <w:suppressAutoHyphens/>
              <w:jc w:val="center"/>
              <w:rPr>
                <w:rFonts w:cstheme="minorHAnsi"/>
                <w:b/>
                <w:sz w:val="16"/>
                <w:szCs w:val="16"/>
                <w:lang w:val="it-IT"/>
              </w:rPr>
            </w:pPr>
            <w:r w:rsidRPr="00D07C7C">
              <w:rPr>
                <w:rFonts w:cstheme="minorHAnsi"/>
                <w:b/>
                <w:sz w:val="16"/>
                <w:szCs w:val="16"/>
                <w:lang w:val="it-IT"/>
              </w:rPr>
              <w:t>21. Christian MIRRA</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14/06/1977 – Italienne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Santander (Espagne)</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22. David MORET FERNANDEZ</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07/11/1971 – Espagnole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Lleida (Espagne)</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23. Francho Chavier NOGUERAS CORRAL</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14/02/1965 – Espagnole</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Saragosse (Espagne)</w:t>
            </w:r>
          </w:p>
          <w:p w:rsidR="007804D1" w:rsidRPr="00D07C7C" w:rsidRDefault="007804D1" w:rsidP="00D07C7C">
            <w:pPr>
              <w:suppressAutoHyphens/>
              <w:jc w:val="center"/>
              <w:rPr>
                <w:rFonts w:cstheme="minorHAnsi"/>
                <w:sz w:val="16"/>
                <w:szCs w:val="16"/>
                <w:lang w:val="it-IT"/>
              </w:rPr>
            </w:pPr>
          </w:p>
          <w:p w:rsidR="007804D1" w:rsidRPr="00D07C7C" w:rsidRDefault="007804D1" w:rsidP="00D07C7C">
            <w:pPr>
              <w:suppressAutoHyphens/>
              <w:jc w:val="center"/>
              <w:rPr>
                <w:rFonts w:cstheme="minorHAnsi"/>
                <w:b/>
                <w:sz w:val="16"/>
                <w:szCs w:val="16"/>
                <w:lang w:val="it-IT"/>
              </w:rPr>
            </w:pPr>
            <w:r w:rsidRPr="00D07C7C">
              <w:rPr>
                <w:rFonts w:cstheme="minorHAnsi"/>
                <w:b/>
                <w:sz w:val="16"/>
                <w:szCs w:val="16"/>
                <w:lang w:val="it-IT"/>
              </w:rPr>
              <w:t>24. Kathrin OTTOVAY</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09/11/1978 – Allemande</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Berlin (Allemagne)</w:t>
            </w:r>
          </w:p>
          <w:p w:rsidR="007804D1" w:rsidRPr="00D07C7C" w:rsidRDefault="007804D1" w:rsidP="00D07C7C">
            <w:pPr>
              <w:suppressAutoHyphens/>
              <w:jc w:val="center"/>
              <w:rPr>
                <w:rFonts w:cstheme="minorHAnsi"/>
                <w:sz w:val="16"/>
                <w:szCs w:val="16"/>
                <w:lang w:val="it-IT"/>
              </w:rPr>
            </w:pPr>
          </w:p>
          <w:p w:rsidR="007804D1" w:rsidRPr="00D07C7C" w:rsidRDefault="007804D1" w:rsidP="00D07C7C">
            <w:pPr>
              <w:suppressAutoHyphens/>
              <w:jc w:val="center"/>
              <w:rPr>
                <w:rFonts w:cstheme="minorHAnsi"/>
                <w:b/>
                <w:sz w:val="16"/>
                <w:szCs w:val="16"/>
                <w:lang w:val="it-IT"/>
              </w:rPr>
            </w:pPr>
            <w:r w:rsidRPr="00D07C7C">
              <w:rPr>
                <w:rFonts w:cstheme="minorHAnsi"/>
                <w:b/>
                <w:sz w:val="16"/>
                <w:szCs w:val="16"/>
                <w:lang w:val="it-IT"/>
              </w:rPr>
              <w:t>25. Vito PERRONE</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20/12/1977 – Italienne</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Foggia (Italie)</w:t>
            </w:r>
          </w:p>
          <w:p w:rsidR="007804D1" w:rsidRPr="00D07C7C" w:rsidRDefault="007804D1" w:rsidP="00D07C7C">
            <w:pPr>
              <w:suppressAutoHyphens/>
              <w:jc w:val="center"/>
              <w:rPr>
                <w:rFonts w:cstheme="minorHAnsi"/>
                <w:sz w:val="16"/>
                <w:szCs w:val="16"/>
                <w:lang w:val="it-IT"/>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26. Rafael POLLOK</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03/01/1976 – Polonaise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Bremenn (Allemagne)</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it-IT"/>
              </w:rPr>
            </w:pPr>
            <w:r w:rsidRPr="00D07C7C">
              <w:rPr>
                <w:rFonts w:cstheme="minorHAnsi"/>
                <w:b/>
                <w:sz w:val="16"/>
                <w:szCs w:val="16"/>
                <w:lang w:val="it-IT"/>
              </w:rPr>
              <w:t>27. Federico PRIMOSIG</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28/12/1978 – Italienne</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Rome (Italie)</w:t>
            </w:r>
          </w:p>
          <w:p w:rsidR="007804D1" w:rsidRPr="00D07C7C" w:rsidRDefault="007804D1" w:rsidP="00D07C7C">
            <w:pPr>
              <w:suppressAutoHyphens/>
              <w:jc w:val="center"/>
              <w:rPr>
                <w:rFonts w:cstheme="minorHAnsi"/>
                <w:sz w:val="16"/>
                <w:szCs w:val="16"/>
                <w:lang w:val="it-IT"/>
              </w:rPr>
            </w:pPr>
          </w:p>
          <w:p w:rsidR="007804D1" w:rsidRPr="00D07C7C" w:rsidRDefault="007804D1" w:rsidP="00D07C7C">
            <w:pPr>
              <w:suppressAutoHyphens/>
              <w:jc w:val="center"/>
              <w:rPr>
                <w:rFonts w:cstheme="minorHAnsi"/>
                <w:b/>
                <w:sz w:val="16"/>
                <w:szCs w:val="16"/>
                <w:lang w:val="it-IT"/>
              </w:rPr>
            </w:pPr>
            <w:r w:rsidRPr="00D07C7C">
              <w:rPr>
                <w:rFonts w:cstheme="minorHAnsi"/>
                <w:b/>
                <w:sz w:val="16"/>
                <w:szCs w:val="16"/>
                <w:lang w:val="it-IT"/>
              </w:rPr>
              <w:t>28. Benito Francisco Javier SAMPERIZ</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14/05/1976 – Espagnole</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Saragosse (Allemagne)</w:t>
            </w:r>
          </w:p>
          <w:p w:rsidR="007804D1" w:rsidRPr="00D07C7C" w:rsidRDefault="007804D1" w:rsidP="00D07C7C">
            <w:pPr>
              <w:suppressAutoHyphens/>
              <w:jc w:val="center"/>
              <w:rPr>
                <w:rFonts w:cstheme="minorHAnsi"/>
                <w:sz w:val="16"/>
                <w:szCs w:val="16"/>
                <w:lang w:val="it-IT"/>
              </w:rPr>
            </w:pPr>
          </w:p>
          <w:p w:rsidR="00F20E07" w:rsidRPr="00D07C7C" w:rsidRDefault="00F20E07" w:rsidP="00D07C7C">
            <w:pPr>
              <w:suppressAutoHyphens/>
              <w:jc w:val="center"/>
              <w:rPr>
                <w:rFonts w:cstheme="minorHAnsi"/>
                <w:b/>
                <w:sz w:val="16"/>
                <w:szCs w:val="16"/>
                <w:lang w:val="fr-FR"/>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lastRenderedPageBreak/>
              <w:t>29. Steffen SIBLER</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31/01/1978 – Allemande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Berlin (Allemagne)</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it-IT"/>
              </w:rPr>
            </w:pPr>
            <w:r w:rsidRPr="00D07C7C">
              <w:rPr>
                <w:rFonts w:cstheme="minorHAnsi"/>
                <w:b/>
                <w:sz w:val="16"/>
                <w:szCs w:val="16"/>
                <w:lang w:val="it-IT"/>
              </w:rPr>
              <w:t>30. Jose Luis SICILIA</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17/11/1959 – Argentine</w:t>
            </w:r>
          </w:p>
          <w:p w:rsidR="007804D1" w:rsidRPr="00D07C7C" w:rsidRDefault="007804D1" w:rsidP="00D07C7C">
            <w:pPr>
              <w:suppressAutoHyphens/>
              <w:jc w:val="center"/>
              <w:rPr>
                <w:rFonts w:cstheme="minorHAnsi"/>
                <w:sz w:val="16"/>
                <w:szCs w:val="16"/>
                <w:lang w:val="it-IT"/>
              </w:rPr>
            </w:pPr>
            <w:r w:rsidRPr="00D07C7C">
              <w:rPr>
                <w:rFonts w:cstheme="minorHAnsi"/>
                <w:sz w:val="16"/>
                <w:szCs w:val="16"/>
                <w:lang w:val="it-IT"/>
              </w:rPr>
              <w:t>Saragosse (Espagne)</w:t>
            </w:r>
          </w:p>
          <w:p w:rsidR="007804D1" w:rsidRPr="00D07C7C" w:rsidRDefault="007804D1" w:rsidP="00D07C7C">
            <w:pPr>
              <w:suppressAutoHyphens/>
              <w:jc w:val="center"/>
              <w:rPr>
                <w:rFonts w:cstheme="minorHAnsi"/>
                <w:sz w:val="16"/>
                <w:szCs w:val="16"/>
                <w:lang w:val="it-IT"/>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31. Jonas SZABO</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24/09/1980 – Allemande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Berlin (Allemagne)</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32. Dolores HERRERO VILLAMOR</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31/01/1937 – Espagnole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Bremen (Allemagne)</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33. Guillermina GARCIA ZAPATERO</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09/03/1974 – Espagnole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Madrid (Espagne)</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34. Sebastian ZEHATSCHEK</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23/01/1981 – Allemande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Neu-Ulm (Allemagne)</w:t>
            </w:r>
          </w:p>
          <w:p w:rsidR="007804D1" w:rsidRPr="00D07C7C" w:rsidRDefault="007804D1" w:rsidP="00D07C7C">
            <w:pPr>
              <w:suppressAutoHyphens/>
              <w:jc w:val="center"/>
              <w:rPr>
                <w:rFonts w:cstheme="minorHAnsi"/>
                <w:sz w:val="16"/>
                <w:szCs w:val="16"/>
                <w:lang w:val="fr-FR"/>
              </w:rPr>
            </w:pPr>
          </w:p>
          <w:p w:rsidR="007804D1" w:rsidRPr="00D07C7C" w:rsidRDefault="007804D1" w:rsidP="00D07C7C">
            <w:pPr>
              <w:suppressAutoHyphens/>
              <w:jc w:val="center"/>
              <w:rPr>
                <w:rFonts w:cstheme="minorHAnsi"/>
                <w:b/>
                <w:sz w:val="16"/>
                <w:szCs w:val="16"/>
                <w:lang w:val="fr-FR"/>
              </w:rPr>
            </w:pPr>
            <w:r w:rsidRPr="00D07C7C">
              <w:rPr>
                <w:rFonts w:cstheme="minorHAnsi"/>
                <w:b/>
                <w:sz w:val="16"/>
                <w:szCs w:val="16"/>
                <w:lang w:val="fr-FR"/>
              </w:rPr>
              <w:t>35. Lena ZUHLKE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14/02/1977 – Allemande</w:t>
            </w:r>
          </w:p>
          <w:p w:rsidR="007804D1" w:rsidRPr="00D07C7C" w:rsidRDefault="007804D1" w:rsidP="00D07C7C">
            <w:pPr>
              <w:suppressAutoHyphens/>
              <w:jc w:val="center"/>
              <w:rPr>
                <w:rFonts w:cstheme="minorHAnsi"/>
                <w:sz w:val="16"/>
                <w:szCs w:val="16"/>
                <w:lang w:val="fr-FR"/>
              </w:rPr>
            </w:pPr>
            <w:r w:rsidRPr="00D07C7C">
              <w:rPr>
                <w:rFonts w:cstheme="minorHAnsi"/>
                <w:sz w:val="16"/>
                <w:szCs w:val="16"/>
                <w:lang w:val="fr-FR"/>
              </w:rPr>
              <w:t>Hambourg (Allemagne)</w:t>
            </w:r>
          </w:p>
          <w:p w:rsidR="007804D1" w:rsidRPr="00D07C7C" w:rsidRDefault="007804D1" w:rsidP="00D07C7C">
            <w:pPr>
              <w:suppressAutoHyphens/>
              <w:jc w:val="left"/>
              <w:rPr>
                <w:rFonts w:cstheme="minorHAnsi"/>
                <w:sz w:val="16"/>
                <w:szCs w:val="16"/>
                <w:lang w:val="fr-FR"/>
              </w:rPr>
            </w:pPr>
          </w:p>
        </w:tc>
      </w:tr>
    </w:tbl>
    <w:p w:rsidR="007804D1" w:rsidRPr="00D07C7C" w:rsidRDefault="007804D1" w:rsidP="00D07C7C">
      <w:pPr>
        <w:rPr>
          <w:lang w:val="fr-FR"/>
        </w:rPr>
      </w:pPr>
    </w:p>
    <w:p w:rsidR="007804D1" w:rsidRPr="00D07C7C" w:rsidRDefault="007804D1" w:rsidP="00D07C7C">
      <w:pPr>
        <w:rPr>
          <w:lang w:val="fr-FR"/>
        </w:rPr>
      </w:pPr>
    </w:p>
    <w:p w:rsidR="007804D1" w:rsidRPr="00D07C7C" w:rsidRDefault="007804D1" w:rsidP="00D07C7C">
      <w:pPr>
        <w:rPr>
          <w:lang w:val="fr-FR"/>
        </w:rPr>
      </w:pPr>
    </w:p>
    <w:p w:rsidR="007804D1" w:rsidRPr="00D07C7C" w:rsidRDefault="007804D1" w:rsidP="00D07C7C">
      <w:pPr>
        <w:rPr>
          <w:lang w:val="fr-FR"/>
        </w:rPr>
      </w:pPr>
    </w:p>
    <w:p w:rsidR="007804D1" w:rsidRPr="00D07C7C" w:rsidRDefault="007804D1" w:rsidP="00D07C7C">
      <w:pPr>
        <w:rPr>
          <w:lang w:val="fr-FR"/>
        </w:rPr>
      </w:pPr>
    </w:p>
    <w:p w:rsidR="007804D1" w:rsidRPr="00D07C7C" w:rsidRDefault="007804D1" w:rsidP="00D07C7C">
      <w:pPr>
        <w:rPr>
          <w:lang w:val="fr-FR"/>
        </w:rPr>
      </w:pPr>
    </w:p>
    <w:p w:rsidR="007804D1" w:rsidRPr="00D07C7C" w:rsidRDefault="007804D1" w:rsidP="00D07C7C">
      <w:pPr>
        <w:rPr>
          <w:lang w:val="fr-FR"/>
        </w:rPr>
      </w:pPr>
    </w:p>
    <w:p w:rsidR="007804D1" w:rsidRPr="00D07C7C" w:rsidRDefault="007804D1" w:rsidP="00D07C7C">
      <w:pPr>
        <w:rPr>
          <w:lang w:val="fr-FR"/>
        </w:rPr>
        <w:sectPr w:rsidR="007804D1" w:rsidRPr="00D07C7C" w:rsidSect="00BE7CE0">
          <w:headerReference w:type="even" r:id="rId18"/>
          <w:headerReference w:type="default" r:id="rId19"/>
          <w:headerReference w:type="first" r:id="rId20"/>
          <w:footnotePr>
            <w:numRestart w:val="eachSect"/>
          </w:footnotePr>
          <w:pgSz w:w="16838" w:h="11906" w:orient="landscape" w:code="9"/>
          <w:pgMar w:top="2274" w:right="2274" w:bottom="993" w:left="2274" w:header="1701" w:footer="720" w:gutter="0"/>
          <w:cols w:space="720"/>
          <w:docGrid w:linePitch="326"/>
        </w:sectPr>
      </w:pPr>
    </w:p>
    <w:p w:rsidR="007804D1" w:rsidRPr="00D07C7C" w:rsidRDefault="007804D1" w:rsidP="00D07C7C">
      <w:pPr>
        <w:pStyle w:val="JuTitle"/>
        <w:tabs>
          <w:tab w:val="left" w:pos="2719"/>
          <w:tab w:val="center" w:pos="6145"/>
        </w:tabs>
        <w:rPr>
          <w:lang w:val="fr-FR"/>
        </w:rPr>
      </w:pPr>
      <w:r w:rsidRPr="00D07C7C">
        <w:rPr>
          <w:lang w:val="fr-FR"/>
        </w:rPr>
        <w:lastRenderedPageBreak/>
        <w:t>Annexe II</w:t>
      </w:r>
    </w:p>
    <w:tbl>
      <w:tblPr>
        <w:tblStyle w:val="Grigliatabella"/>
        <w:tblpPr w:leftFromText="180" w:rightFromText="180" w:vertAnchor="text" w:horzAnchor="margin" w:tblpXSpec="center" w:tblpY="157"/>
        <w:tblW w:w="0" w:type="auto"/>
        <w:tblLook w:val="04A0" w:firstRow="1" w:lastRow="0" w:firstColumn="1" w:lastColumn="0" w:noHBand="0" w:noVBand="1"/>
      </w:tblPr>
      <w:tblGrid>
        <w:gridCol w:w="2553"/>
        <w:gridCol w:w="3383"/>
        <w:gridCol w:w="1929"/>
      </w:tblGrid>
      <w:tr w:rsidR="007804D1" w:rsidRPr="00D07C7C" w:rsidTr="00BE7CE0">
        <w:trPr>
          <w:tblHeader/>
        </w:trPr>
        <w:tc>
          <w:tcPr>
            <w:tcW w:w="2977" w:type="dxa"/>
            <w:shd w:val="clear" w:color="auto" w:fill="C6C6C6" w:themeFill="text2"/>
            <w:vAlign w:val="center"/>
          </w:tcPr>
          <w:p w:rsidR="007804D1" w:rsidRPr="00D07C7C" w:rsidRDefault="007804D1" w:rsidP="00D07C7C">
            <w:pPr>
              <w:pStyle w:val="ECHRPara"/>
              <w:ind w:firstLine="0"/>
              <w:jc w:val="center"/>
              <w:rPr>
                <w:b/>
                <w:sz w:val="16"/>
                <w:szCs w:val="16"/>
                <w:lang w:val="fr-FR"/>
              </w:rPr>
            </w:pPr>
          </w:p>
          <w:p w:rsidR="007804D1" w:rsidRPr="00D07C7C" w:rsidRDefault="007804D1" w:rsidP="00D07C7C">
            <w:pPr>
              <w:pStyle w:val="ECHRPara"/>
              <w:ind w:firstLine="0"/>
              <w:jc w:val="center"/>
              <w:rPr>
                <w:b/>
                <w:sz w:val="16"/>
                <w:szCs w:val="16"/>
                <w:lang w:val="fr-FR"/>
              </w:rPr>
            </w:pPr>
            <w:r w:rsidRPr="00D07C7C">
              <w:rPr>
                <w:b/>
                <w:sz w:val="16"/>
                <w:szCs w:val="16"/>
                <w:lang w:val="fr-FR"/>
              </w:rPr>
              <w:t>Avocats représentants</w:t>
            </w:r>
          </w:p>
          <w:p w:rsidR="007804D1" w:rsidRPr="00D07C7C" w:rsidRDefault="007804D1" w:rsidP="00D07C7C">
            <w:pPr>
              <w:pStyle w:val="ECHRPara"/>
              <w:ind w:firstLine="0"/>
              <w:jc w:val="center"/>
              <w:rPr>
                <w:b/>
                <w:sz w:val="16"/>
                <w:szCs w:val="16"/>
                <w:lang w:val="fr-FR"/>
              </w:rPr>
            </w:pPr>
          </w:p>
        </w:tc>
        <w:tc>
          <w:tcPr>
            <w:tcW w:w="3969" w:type="dxa"/>
            <w:shd w:val="clear" w:color="auto" w:fill="C6C6C6" w:themeFill="text2"/>
            <w:vAlign w:val="center"/>
          </w:tcPr>
          <w:p w:rsidR="007804D1" w:rsidRPr="00D07C7C" w:rsidRDefault="007804D1" w:rsidP="00D07C7C">
            <w:pPr>
              <w:pStyle w:val="ECHRPara"/>
              <w:ind w:firstLine="0"/>
              <w:jc w:val="center"/>
              <w:rPr>
                <w:b/>
                <w:sz w:val="16"/>
                <w:szCs w:val="16"/>
                <w:lang w:val="fr-FR"/>
              </w:rPr>
            </w:pPr>
            <w:r w:rsidRPr="00D07C7C">
              <w:rPr>
                <w:b/>
                <w:sz w:val="16"/>
                <w:szCs w:val="16"/>
                <w:lang w:val="fr-FR"/>
              </w:rPr>
              <w:t>Requérants représentés</w:t>
            </w:r>
          </w:p>
        </w:tc>
        <w:tc>
          <w:tcPr>
            <w:tcW w:w="2268" w:type="dxa"/>
            <w:shd w:val="clear" w:color="auto" w:fill="C6C6C6" w:themeFill="text2"/>
            <w:vAlign w:val="center"/>
          </w:tcPr>
          <w:p w:rsidR="007804D1" w:rsidRPr="00D07C7C" w:rsidRDefault="007804D1" w:rsidP="00D07C7C">
            <w:pPr>
              <w:pStyle w:val="ECHRPara"/>
              <w:ind w:firstLine="0"/>
              <w:jc w:val="center"/>
              <w:rPr>
                <w:b/>
                <w:sz w:val="16"/>
                <w:szCs w:val="16"/>
                <w:lang w:val="fr-FR"/>
              </w:rPr>
            </w:pPr>
            <w:r w:rsidRPr="00D07C7C">
              <w:rPr>
                <w:b/>
                <w:sz w:val="16"/>
                <w:szCs w:val="16"/>
                <w:lang w:val="fr-FR"/>
              </w:rPr>
              <w:t>Montant total à payer</w:t>
            </w:r>
            <w:r w:rsidRPr="00D07C7C">
              <w:rPr>
                <w:rStyle w:val="Rimandonotaapidipagina"/>
                <w:b/>
                <w:sz w:val="16"/>
                <w:szCs w:val="16"/>
                <w:lang w:val="fr-FR"/>
              </w:rPr>
              <w:footnoteReference w:id="2"/>
            </w:r>
          </w:p>
        </w:tc>
      </w:tr>
      <w:tr w:rsidR="007804D1" w:rsidRPr="00D07C7C" w:rsidTr="00BE7CE0">
        <w:tc>
          <w:tcPr>
            <w:tcW w:w="2977" w:type="dxa"/>
          </w:tcPr>
          <w:p w:rsidR="007804D1" w:rsidRPr="00D07C7C" w:rsidRDefault="007804D1" w:rsidP="00D07C7C">
            <w:pPr>
              <w:pStyle w:val="ECHRPara"/>
              <w:ind w:firstLine="0"/>
              <w:rPr>
                <w:rFonts w:cstheme="minorHAnsi"/>
                <w:sz w:val="16"/>
                <w:szCs w:val="16"/>
                <w:lang w:val="it-IT"/>
              </w:rPr>
            </w:pPr>
          </w:p>
          <w:p w:rsidR="007804D1" w:rsidRPr="00D07C7C" w:rsidRDefault="007804D1" w:rsidP="00D07C7C">
            <w:pPr>
              <w:pStyle w:val="ECHRPara"/>
              <w:ind w:firstLine="0"/>
              <w:rPr>
                <w:rFonts w:cstheme="minorHAnsi"/>
                <w:sz w:val="16"/>
                <w:szCs w:val="16"/>
                <w:lang w:val="it-IT"/>
              </w:rPr>
            </w:pPr>
            <w:r w:rsidRPr="00D07C7C">
              <w:rPr>
                <w:rFonts w:cstheme="minorHAnsi"/>
                <w:sz w:val="16"/>
                <w:szCs w:val="16"/>
                <w:lang w:val="it-IT"/>
              </w:rPr>
              <w:t>M</w:t>
            </w:r>
            <w:r w:rsidRPr="00D07C7C">
              <w:rPr>
                <w:rFonts w:cstheme="minorHAnsi"/>
                <w:sz w:val="16"/>
                <w:szCs w:val="16"/>
                <w:vertAlign w:val="superscript"/>
                <w:lang w:val="it-IT"/>
              </w:rPr>
              <w:t xml:space="preserve">e </w:t>
            </w:r>
            <w:r w:rsidRPr="00D07C7C">
              <w:rPr>
                <w:rFonts w:cstheme="minorHAnsi"/>
                <w:sz w:val="16"/>
                <w:szCs w:val="16"/>
                <w:lang w:val="it-IT"/>
              </w:rPr>
              <w:t>V. ONIDA</w:t>
            </w:r>
          </w:p>
          <w:p w:rsidR="007804D1" w:rsidRPr="00D07C7C" w:rsidRDefault="007804D1" w:rsidP="00D07C7C">
            <w:pPr>
              <w:pStyle w:val="ECHRPara"/>
              <w:ind w:firstLine="0"/>
              <w:rPr>
                <w:rFonts w:cstheme="minorHAnsi"/>
                <w:sz w:val="16"/>
                <w:szCs w:val="16"/>
                <w:lang w:val="it-IT"/>
              </w:rPr>
            </w:pPr>
            <w:r w:rsidRPr="00D07C7C">
              <w:rPr>
                <w:rFonts w:cstheme="minorHAnsi"/>
                <w:sz w:val="16"/>
                <w:szCs w:val="16"/>
                <w:lang w:val="it-IT"/>
              </w:rPr>
              <w:t>M</w:t>
            </w:r>
            <w:r w:rsidRPr="00D07C7C">
              <w:rPr>
                <w:rFonts w:cstheme="minorHAnsi"/>
                <w:sz w:val="16"/>
                <w:szCs w:val="16"/>
                <w:vertAlign w:val="superscript"/>
                <w:lang w:val="it-IT"/>
              </w:rPr>
              <w:t>e</w:t>
            </w:r>
            <w:r w:rsidRPr="00D07C7C">
              <w:rPr>
                <w:rFonts w:cstheme="minorHAnsi"/>
                <w:sz w:val="16"/>
                <w:szCs w:val="16"/>
                <w:lang w:val="it-IT"/>
              </w:rPr>
              <w:t xml:space="preserve"> B. RANDAZZO</w:t>
            </w:r>
          </w:p>
          <w:p w:rsidR="007804D1" w:rsidRPr="00D07C7C" w:rsidRDefault="007804D1" w:rsidP="00D07C7C">
            <w:pPr>
              <w:pStyle w:val="ECHRPara"/>
              <w:ind w:firstLine="0"/>
              <w:rPr>
                <w:rFonts w:cstheme="minorHAnsi"/>
                <w:sz w:val="16"/>
                <w:szCs w:val="16"/>
                <w:lang w:val="it-IT"/>
              </w:rPr>
            </w:pPr>
          </w:p>
        </w:tc>
        <w:tc>
          <w:tcPr>
            <w:tcW w:w="3969" w:type="dxa"/>
          </w:tcPr>
          <w:p w:rsidR="007804D1" w:rsidRPr="00D07C7C" w:rsidRDefault="007804D1" w:rsidP="00D07C7C">
            <w:pPr>
              <w:pStyle w:val="ECHRPara"/>
              <w:ind w:firstLine="0"/>
              <w:rPr>
                <w:rFonts w:cstheme="minorHAnsi"/>
                <w:sz w:val="16"/>
                <w:szCs w:val="16"/>
                <w:lang w:val="fi-FI"/>
              </w:rPr>
            </w:pPr>
          </w:p>
          <w:p w:rsidR="007804D1" w:rsidRPr="00D07C7C" w:rsidRDefault="007804D1" w:rsidP="00D07C7C">
            <w:pPr>
              <w:pStyle w:val="ECHRPara"/>
              <w:ind w:firstLine="0"/>
              <w:rPr>
                <w:rFonts w:cstheme="minorHAnsi"/>
                <w:sz w:val="16"/>
                <w:szCs w:val="16"/>
                <w:lang w:val="fr-FR"/>
              </w:rPr>
            </w:pPr>
            <w:r w:rsidRPr="00D07C7C">
              <w:rPr>
                <w:rFonts w:cstheme="minorHAnsi"/>
                <w:sz w:val="16"/>
                <w:szCs w:val="16"/>
                <w:lang w:val="fr-FR"/>
              </w:rPr>
              <w:t>Tous les requérants de la requête n</w:t>
            </w:r>
            <w:r w:rsidRPr="00D07C7C">
              <w:rPr>
                <w:rFonts w:cstheme="minorHAnsi"/>
                <w:sz w:val="16"/>
                <w:szCs w:val="16"/>
                <w:vertAlign w:val="superscript"/>
                <w:lang w:val="fr-FR"/>
              </w:rPr>
              <w:t>o</w:t>
            </w:r>
            <w:r w:rsidRPr="00D07C7C">
              <w:rPr>
                <w:rFonts w:cstheme="minorHAnsi"/>
                <w:sz w:val="16"/>
                <w:szCs w:val="16"/>
                <w:lang w:val="fr-FR"/>
              </w:rPr>
              <w:t xml:space="preserve"> 43390/13</w:t>
            </w:r>
          </w:p>
          <w:p w:rsidR="007804D1" w:rsidRPr="00D07C7C" w:rsidRDefault="007804D1" w:rsidP="00D07C7C">
            <w:pPr>
              <w:pStyle w:val="ECHRPara"/>
              <w:ind w:firstLine="0"/>
              <w:rPr>
                <w:rFonts w:cstheme="minorHAnsi"/>
                <w:sz w:val="16"/>
                <w:szCs w:val="16"/>
                <w:lang w:val="fr-FR"/>
              </w:rPr>
            </w:pPr>
          </w:p>
        </w:tc>
        <w:tc>
          <w:tcPr>
            <w:tcW w:w="2268" w:type="dxa"/>
          </w:tcPr>
          <w:p w:rsidR="007804D1" w:rsidRPr="00D07C7C" w:rsidRDefault="007804D1" w:rsidP="00D07C7C">
            <w:pPr>
              <w:pStyle w:val="ECHRPara"/>
              <w:ind w:firstLine="0"/>
              <w:rPr>
                <w:rFonts w:cstheme="minorHAnsi"/>
                <w:b/>
                <w:sz w:val="16"/>
                <w:szCs w:val="16"/>
                <w:lang w:val="fr-FR"/>
              </w:rPr>
            </w:pPr>
          </w:p>
          <w:p w:rsidR="007804D1" w:rsidRPr="00D07C7C" w:rsidRDefault="007804D1" w:rsidP="00D07C7C">
            <w:pPr>
              <w:pStyle w:val="ECHRPara"/>
              <w:ind w:firstLine="0"/>
              <w:rPr>
                <w:rFonts w:cstheme="minorHAnsi"/>
                <w:b/>
                <w:sz w:val="16"/>
                <w:szCs w:val="16"/>
                <w:lang w:val="fr-FR"/>
              </w:rPr>
            </w:pPr>
            <w:r w:rsidRPr="00D07C7C">
              <w:rPr>
                <w:rFonts w:cstheme="minorHAnsi"/>
                <w:b/>
                <w:sz w:val="16"/>
                <w:szCs w:val="16"/>
                <w:lang w:val="fr-FR"/>
              </w:rPr>
              <w:t>12 100 EUR</w:t>
            </w:r>
          </w:p>
        </w:tc>
      </w:tr>
      <w:tr w:rsidR="007804D1" w:rsidRPr="00D07C7C" w:rsidTr="00BE7CE0">
        <w:tc>
          <w:tcPr>
            <w:tcW w:w="2977" w:type="dxa"/>
          </w:tcPr>
          <w:p w:rsidR="007804D1" w:rsidRPr="00D07C7C" w:rsidRDefault="007804D1" w:rsidP="00D07C7C">
            <w:pPr>
              <w:pStyle w:val="ECHRPara"/>
              <w:ind w:firstLine="0"/>
              <w:rPr>
                <w:rFonts w:cstheme="minorHAnsi"/>
                <w:sz w:val="16"/>
                <w:szCs w:val="16"/>
                <w:lang w:val="it-IT"/>
              </w:rPr>
            </w:pPr>
          </w:p>
          <w:p w:rsidR="007804D1" w:rsidRPr="00D07C7C" w:rsidRDefault="007804D1" w:rsidP="00D07C7C">
            <w:pPr>
              <w:pStyle w:val="ECHRPara"/>
              <w:ind w:firstLine="0"/>
              <w:rPr>
                <w:rFonts w:cstheme="minorHAnsi"/>
                <w:sz w:val="16"/>
                <w:szCs w:val="16"/>
                <w:lang w:val="it-IT"/>
              </w:rPr>
            </w:pPr>
            <w:r w:rsidRPr="00D07C7C">
              <w:rPr>
                <w:rFonts w:cstheme="minorHAnsi"/>
                <w:sz w:val="16"/>
                <w:szCs w:val="16"/>
                <w:lang w:val="it-IT"/>
              </w:rPr>
              <w:t>M</w:t>
            </w:r>
            <w:r w:rsidRPr="00D07C7C">
              <w:rPr>
                <w:rFonts w:cstheme="minorHAnsi"/>
                <w:sz w:val="16"/>
                <w:szCs w:val="16"/>
                <w:vertAlign w:val="superscript"/>
                <w:lang w:val="it-IT"/>
              </w:rPr>
              <w:t xml:space="preserve">es </w:t>
            </w:r>
            <w:r w:rsidRPr="00D07C7C">
              <w:rPr>
                <w:rFonts w:cstheme="minorHAnsi"/>
                <w:sz w:val="16"/>
                <w:szCs w:val="16"/>
                <w:lang w:val="it-IT"/>
              </w:rPr>
              <w:t>A. GALASSO</w:t>
            </w:r>
          </w:p>
          <w:p w:rsidR="007804D1" w:rsidRPr="00D07C7C" w:rsidRDefault="007804D1" w:rsidP="00D07C7C">
            <w:pPr>
              <w:pStyle w:val="ECHRPara"/>
              <w:ind w:firstLine="0"/>
              <w:rPr>
                <w:rFonts w:cstheme="minorHAnsi"/>
                <w:sz w:val="16"/>
                <w:szCs w:val="16"/>
                <w:lang w:val="it-IT"/>
              </w:rPr>
            </w:pPr>
            <w:r w:rsidRPr="00D07C7C">
              <w:rPr>
                <w:rFonts w:cstheme="minorHAnsi"/>
                <w:sz w:val="16"/>
                <w:szCs w:val="16"/>
                <w:lang w:val="it-IT"/>
              </w:rPr>
              <w:t>M</w:t>
            </w:r>
            <w:r w:rsidRPr="00D07C7C">
              <w:rPr>
                <w:rFonts w:cstheme="minorHAnsi"/>
                <w:sz w:val="16"/>
                <w:szCs w:val="16"/>
                <w:vertAlign w:val="superscript"/>
                <w:lang w:val="it-IT"/>
              </w:rPr>
              <w:t>e</w:t>
            </w:r>
            <w:r w:rsidRPr="00D07C7C">
              <w:rPr>
                <w:rFonts w:cstheme="minorHAnsi"/>
                <w:sz w:val="16"/>
                <w:szCs w:val="16"/>
                <w:lang w:val="it-IT"/>
              </w:rPr>
              <w:t xml:space="preserve"> P. PALMIERI</w:t>
            </w:r>
          </w:p>
          <w:p w:rsidR="007804D1" w:rsidRPr="00D07C7C" w:rsidRDefault="007804D1" w:rsidP="00D07C7C">
            <w:pPr>
              <w:pStyle w:val="ECHRPara"/>
              <w:ind w:firstLine="0"/>
              <w:rPr>
                <w:rFonts w:cstheme="minorHAnsi"/>
                <w:sz w:val="16"/>
                <w:szCs w:val="16"/>
                <w:lang w:val="it-IT"/>
              </w:rPr>
            </w:pPr>
            <w:r w:rsidRPr="00D07C7C">
              <w:rPr>
                <w:rFonts w:cstheme="minorHAnsi"/>
                <w:sz w:val="16"/>
                <w:szCs w:val="16"/>
                <w:lang w:val="it-IT"/>
              </w:rPr>
              <w:t>M</w:t>
            </w:r>
            <w:r w:rsidRPr="00D07C7C">
              <w:rPr>
                <w:rFonts w:cstheme="minorHAnsi"/>
                <w:sz w:val="16"/>
                <w:szCs w:val="16"/>
                <w:vertAlign w:val="superscript"/>
                <w:lang w:val="it-IT"/>
              </w:rPr>
              <w:t>e</w:t>
            </w:r>
            <w:r w:rsidRPr="00D07C7C">
              <w:rPr>
                <w:rFonts w:cstheme="minorHAnsi"/>
                <w:sz w:val="16"/>
                <w:szCs w:val="16"/>
                <w:lang w:val="it-IT"/>
              </w:rPr>
              <w:t xml:space="preserve"> L. D</w:t>
            </w:r>
            <w:r w:rsidR="00D07C7C" w:rsidRPr="00D07C7C">
              <w:rPr>
                <w:rFonts w:cstheme="minorHAnsi"/>
                <w:sz w:val="16"/>
                <w:szCs w:val="16"/>
                <w:lang w:val="it-IT"/>
              </w:rPr>
              <w:t>’</w:t>
            </w:r>
            <w:r w:rsidRPr="00D07C7C">
              <w:rPr>
                <w:rFonts w:cstheme="minorHAnsi"/>
                <w:sz w:val="16"/>
                <w:szCs w:val="16"/>
                <w:lang w:val="it-IT"/>
              </w:rPr>
              <w:t>AMICO</w:t>
            </w:r>
          </w:p>
          <w:p w:rsidR="007804D1" w:rsidRPr="00D07C7C" w:rsidRDefault="007804D1" w:rsidP="00D07C7C">
            <w:pPr>
              <w:pStyle w:val="ECHRPara"/>
              <w:ind w:firstLine="0"/>
              <w:rPr>
                <w:rFonts w:cstheme="minorHAnsi"/>
                <w:sz w:val="16"/>
                <w:szCs w:val="16"/>
                <w:lang w:val="it-IT"/>
              </w:rPr>
            </w:pPr>
          </w:p>
        </w:tc>
        <w:tc>
          <w:tcPr>
            <w:tcW w:w="3969" w:type="dxa"/>
          </w:tcPr>
          <w:p w:rsidR="007804D1" w:rsidRPr="00D07C7C" w:rsidRDefault="007804D1" w:rsidP="00D07C7C">
            <w:pPr>
              <w:pStyle w:val="ECHRPara"/>
              <w:ind w:firstLine="0"/>
              <w:rPr>
                <w:rFonts w:cstheme="minorHAnsi"/>
                <w:b/>
                <w:sz w:val="16"/>
                <w:szCs w:val="16"/>
                <w:lang w:val="it-IT"/>
              </w:rPr>
            </w:pPr>
          </w:p>
          <w:p w:rsidR="007804D1" w:rsidRPr="00D07C7C" w:rsidRDefault="007804D1" w:rsidP="00D07C7C">
            <w:pPr>
              <w:pStyle w:val="ECHRPara"/>
              <w:ind w:firstLine="0"/>
              <w:rPr>
                <w:rFonts w:cstheme="minorHAnsi"/>
                <w:b/>
                <w:sz w:val="16"/>
                <w:szCs w:val="16"/>
                <w:lang w:val="it-IT"/>
              </w:rPr>
            </w:pPr>
            <w:r w:rsidRPr="00D07C7C">
              <w:rPr>
                <w:rFonts w:cstheme="minorHAnsi"/>
                <w:b/>
                <w:sz w:val="16"/>
                <w:szCs w:val="16"/>
                <w:lang w:val="it-IT"/>
              </w:rPr>
              <w:t>Lorenzo GUADAGNUCCI PANCIOLI</w:t>
            </w:r>
          </w:p>
          <w:p w:rsidR="007804D1" w:rsidRPr="00D07C7C" w:rsidRDefault="007804D1" w:rsidP="00D07C7C">
            <w:pPr>
              <w:pStyle w:val="ECHRPara"/>
              <w:ind w:firstLine="0"/>
              <w:rPr>
                <w:rFonts w:cstheme="minorHAnsi"/>
                <w:b/>
                <w:sz w:val="16"/>
                <w:szCs w:val="16"/>
                <w:lang w:val="it-IT"/>
              </w:rPr>
            </w:pPr>
            <w:r w:rsidRPr="00D07C7C">
              <w:rPr>
                <w:rFonts w:cstheme="minorHAnsi"/>
                <w:b/>
                <w:sz w:val="16"/>
                <w:szCs w:val="16"/>
                <w:lang w:val="it-IT"/>
              </w:rPr>
              <w:t>Vito PERRONE</w:t>
            </w:r>
          </w:p>
          <w:p w:rsidR="007804D1" w:rsidRPr="00D07C7C" w:rsidRDefault="007804D1" w:rsidP="00D07C7C">
            <w:pPr>
              <w:pStyle w:val="ECHRPara"/>
              <w:ind w:firstLine="0"/>
              <w:rPr>
                <w:rFonts w:cstheme="minorHAnsi"/>
                <w:b/>
                <w:sz w:val="16"/>
                <w:szCs w:val="16"/>
                <w:lang w:val="it-IT"/>
              </w:rPr>
            </w:pPr>
          </w:p>
        </w:tc>
        <w:tc>
          <w:tcPr>
            <w:tcW w:w="2268" w:type="dxa"/>
          </w:tcPr>
          <w:p w:rsidR="007804D1" w:rsidRPr="00D07C7C" w:rsidRDefault="007804D1" w:rsidP="00D07C7C">
            <w:pPr>
              <w:pStyle w:val="ECHRPara"/>
              <w:ind w:firstLine="0"/>
              <w:rPr>
                <w:rFonts w:cstheme="minorHAnsi"/>
                <w:b/>
                <w:sz w:val="16"/>
                <w:szCs w:val="16"/>
                <w:lang w:val="it-IT"/>
              </w:rPr>
            </w:pPr>
          </w:p>
          <w:p w:rsidR="007804D1" w:rsidRPr="00D07C7C" w:rsidRDefault="007804D1" w:rsidP="00D07C7C">
            <w:pPr>
              <w:pStyle w:val="ECHRPara"/>
              <w:ind w:firstLine="0"/>
              <w:rPr>
                <w:rFonts w:cstheme="minorHAnsi"/>
                <w:b/>
                <w:sz w:val="16"/>
                <w:szCs w:val="16"/>
                <w:lang w:val="it-IT"/>
              </w:rPr>
            </w:pPr>
            <w:r w:rsidRPr="00D07C7C">
              <w:rPr>
                <w:rFonts w:cstheme="minorHAnsi"/>
                <w:b/>
                <w:sz w:val="16"/>
                <w:szCs w:val="16"/>
                <w:lang w:val="it-IT"/>
              </w:rPr>
              <w:t>5 830 EUR</w:t>
            </w:r>
          </w:p>
        </w:tc>
      </w:tr>
      <w:tr w:rsidR="007804D1" w:rsidRPr="00D07C7C" w:rsidTr="00BE7CE0">
        <w:tc>
          <w:tcPr>
            <w:tcW w:w="2977" w:type="dxa"/>
          </w:tcPr>
          <w:p w:rsidR="007804D1" w:rsidRPr="00D07C7C" w:rsidRDefault="007804D1" w:rsidP="00D07C7C">
            <w:pPr>
              <w:pStyle w:val="ECHRPara"/>
              <w:ind w:firstLine="0"/>
              <w:rPr>
                <w:rFonts w:cstheme="minorHAnsi"/>
                <w:sz w:val="16"/>
                <w:szCs w:val="16"/>
                <w:lang w:val="it-IT"/>
              </w:rPr>
            </w:pPr>
          </w:p>
          <w:p w:rsidR="007804D1" w:rsidRPr="00D07C7C" w:rsidRDefault="007804D1" w:rsidP="00D07C7C">
            <w:pPr>
              <w:pStyle w:val="ECHRPara"/>
              <w:ind w:firstLine="0"/>
              <w:rPr>
                <w:rFonts w:cstheme="minorHAnsi"/>
                <w:sz w:val="16"/>
                <w:szCs w:val="16"/>
                <w:lang w:val="it-IT"/>
              </w:rPr>
            </w:pPr>
            <w:r w:rsidRPr="00D07C7C">
              <w:rPr>
                <w:rFonts w:cstheme="minorHAnsi"/>
                <w:sz w:val="16"/>
                <w:szCs w:val="16"/>
                <w:lang w:val="it-IT"/>
              </w:rPr>
              <w:t>M</w:t>
            </w:r>
            <w:r w:rsidRPr="00D07C7C">
              <w:rPr>
                <w:rFonts w:cstheme="minorHAnsi"/>
                <w:sz w:val="16"/>
                <w:szCs w:val="16"/>
                <w:vertAlign w:val="superscript"/>
                <w:lang w:val="it-IT"/>
              </w:rPr>
              <w:t xml:space="preserve">e </w:t>
            </w:r>
            <w:r w:rsidRPr="00D07C7C">
              <w:rPr>
                <w:rFonts w:cstheme="minorHAnsi"/>
                <w:sz w:val="16"/>
                <w:szCs w:val="16"/>
                <w:lang w:val="it-IT"/>
              </w:rPr>
              <w:t>F. TADDEI</w:t>
            </w:r>
          </w:p>
        </w:tc>
        <w:tc>
          <w:tcPr>
            <w:tcW w:w="3969" w:type="dxa"/>
          </w:tcPr>
          <w:p w:rsidR="007804D1" w:rsidRPr="00D07C7C" w:rsidRDefault="007804D1" w:rsidP="00D07C7C">
            <w:pPr>
              <w:pStyle w:val="ECHRPara"/>
              <w:ind w:firstLine="0"/>
              <w:rPr>
                <w:rFonts w:cstheme="minorHAnsi"/>
                <w:b/>
                <w:sz w:val="16"/>
                <w:szCs w:val="16"/>
                <w:lang w:val="fr-FR"/>
              </w:rPr>
            </w:pPr>
          </w:p>
          <w:p w:rsidR="007804D1" w:rsidRPr="00D07C7C" w:rsidRDefault="007804D1" w:rsidP="00D07C7C">
            <w:pPr>
              <w:pStyle w:val="ECHRPara"/>
              <w:ind w:firstLine="0"/>
              <w:rPr>
                <w:rFonts w:cstheme="minorHAnsi"/>
                <w:b/>
                <w:sz w:val="16"/>
                <w:szCs w:val="16"/>
                <w:lang w:val="fr-FR"/>
              </w:rPr>
            </w:pPr>
            <w:r w:rsidRPr="00D07C7C">
              <w:rPr>
                <w:rFonts w:cstheme="minorHAnsi"/>
                <w:b/>
                <w:sz w:val="16"/>
                <w:szCs w:val="16"/>
                <w:lang w:val="fr-FR"/>
              </w:rPr>
              <w:t>Michal CHMIELEWSKI</w:t>
            </w:r>
          </w:p>
          <w:p w:rsidR="007804D1" w:rsidRPr="00D07C7C" w:rsidRDefault="007804D1" w:rsidP="00D07C7C">
            <w:pPr>
              <w:pStyle w:val="ECHRPara"/>
              <w:ind w:firstLine="0"/>
              <w:rPr>
                <w:rFonts w:cstheme="minorHAnsi"/>
                <w:b/>
                <w:sz w:val="16"/>
                <w:szCs w:val="16"/>
                <w:lang w:val="fr-FR"/>
              </w:rPr>
            </w:pPr>
            <w:r w:rsidRPr="00D07C7C">
              <w:rPr>
                <w:rFonts w:cstheme="minorHAnsi"/>
                <w:b/>
                <w:sz w:val="16"/>
                <w:szCs w:val="16"/>
                <w:lang w:val="fr-FR"/>
              </w:rPr>
              <w:t>Benjamin COELLE</w:t>
            </w:r>
          </w:p>
          <w:p w:rsidR="007804D1" w:rsidRPr="00D07C7C" w:rsidRDefault="007804D1" w:rsidP="00D07C7C">
            <w:pPr>
              <w:pStyle w:val="ECHRPara"/>
              <w:ind w:firstLine="0"/>
              <w:rPr>
                <w:rFonts w:cstheme="minorHAnsi"/>
                <w:b/>
                <w:sz w:val="16"/>
                <w:szCs w:val="16"/>
                <w:lang w:val="fr-FR"/>
              </w:rPr>
            </w:pPr>
            <w:r w:rsidRPr="00D07C7C">
              <w:rPr>
                <w:rFonts w:cstheme="minorHAnsi"/>
                <w:b/>
                <w:sz w:val="16"/>
                <w:szCs w:val="16"/>
                <w:lang w:val="fr-FR"/>
              </w:rPr>
              <w:t>Christian MIRRA</w:t>
            </w:r>
          </w:p>
          <w:p w:rsidR="007804D1" w:rsidRPr="00D07C7C" w:rsidRDefault="007804D1" w:rsidP="00D07C7C">
            <w:pPr>
              <w:pStyle w:val="ECHRPara"/>
              <w:ind w:firstLine="0"/>
              <w:rPr>
                <w:rFonts w:cstheme="minorHAnsi"/>
                <w:b/>
                <w:sz w:val="16"/>
                <w:szCs w:val="16"/>
                <w:lang w:val="fr-FR"/>
              </w:rPr>
            </w:pPr>
            <w:r w:rsidRPr="00D07C7C">
              <w:rPr>
                <w:rFonts w:cstheme="minorHAnsi"/>
                <w:b/>
                <w:sz w:val="16"/>
                <w:szCs w:val="16"/>
                <w:lang w:val="fr-FR"/>
              </w:rPr>
              <w:t>Rafael POLLOK</w:t>
            </w:r>
          </w:p>
          <w:p w:rsidR="007804D1" w:rsidRPr="00D07C7C" w:rsidRDefault="007804D1" w:rsidP="00D07C7C">
            <w:pPr>
              <w:pStyle w:val="ECHRPara"/>
              <w:ind w:firstLine="0"/>
              <w:rPr>
                <w:rFonts w:cstheme="minorHAnsi"/>
                <w:b/>
                <w:sz w:val="16"/>
                <w:szCs w:val="16"/>
                <w:lang w:val="fr-FR"/>
              </w:rPr>
            </w:pPr>
            <w:r w:rsidRPr="00D07C7C">
              <w:rPr>
                <w:rFonts w:cstheme="minorHAnsi"/>
                <w:b/>
                <w:sz w:val="16"/>
                <w:szCs w:val="16"/>
                <w:lang w:val="fr-FR"/>
              </w:rPr>
              <w:t>Steffen SIBLER</w:t>
            </w:r>
          </w:p>
          <w:p w:rsidR="007804D1" w:rsidRPr="00D07C7C" w:rsidRDefault="007804D1" w:rsidP="00D07C7C">
            <w:pPr>
              <w:pStyle w:val="ECHRPara"/>
              <w:ind w:firstLine="0"/>
              <w:rPr>
                <w:rFonts w:cstheme="minorHAnsi"/>
                <w:b/>
                <w:sz w:val="16"/>
                <w:szCs w:val="16"/>
                <w:lang w:val="fr-FR"/>
              </w:rPr>
            </w:pPr>
          </w:p>
        </w:tc>
        <w:tc>
          <w:tcPr>
            <w:tcW w:w="2268" w:type="dxa"/>
          </w:tcPr>
          <w:p w:rsidR="007804D1" w:rsidRPr="00D07C7C" w:rsidRDefault="007804D1" w:rsidP="00D07C7C">
            <w:pPr>
              <w:pStyle w:val="ECHRPara"/>
              <w:ind w:firstLine="0"/>
              <w:rPr>
                <w:rFonts w:cstheme="minorHAnsi"/>
                <w:sz w:val="16"/>
                <w:szCs w:val="16"/>
                <w:lang w:val="fr-FR"/>
              </w:rPr>
            </w:pPr>
          </w:p>
          <w:p w:rsidR="007804D1" w:rsidRPr="00D07C7C" w:rsidRDefault="007804D1" w:rsidP="00D07C7C">
            <w:pPr>
              <w:pStyle w:val="ECHRPara"/>
              <w:ind w:firstLine="0"/>
              <w:rPr>
                <w:rFonts w:cstheme="minorHAnsi"/>
                <w:sz w:val="16"/>
                <w:szCs w:val="16"/>
                <w:lang w:val="fr-FR"/>
              </w:rPr>
            </w:pPr>
            <w:r w:rsidRPr="00D07C7C">
              <w:rPr>
                <w:rFonts w:cstheme="minorHAnsi"/>
                <w:b/>
                <w:sz w:val="16"/>
                <w:szCs w:val="16"/>
                <w:lang w:val="fr-FR"/>
              </w:rPr>
              <w:t>5 500 EUR</w:t>
            </w:r>
          </w:p>
        </w:tc>
      </w:tr>
      <w:tr w:rsidR="007804D1" w:rsidRPr="00D07C7C" w:rsidTr="00BE7CE0">
        <w:tc>
          <w:tcPr>
            <w:tcW w:w="2977" w:type="dxa"/>
          </w:tcPr>
          <w:p w:rsidR="007804D1" w:rsidRPr="00D07C7C" w:rsidRDefault="007804D1" w:rsidP="00D07C7C">
            <w:pPr>
              <w:pStyle w:val="ECHRPara"/>
              <w:ind w:firstLine="0"/>
              <w:rPr>
                <w:rFonts w:cstheme="minorHAnsi"/>
                <w:sz w:val="16"/>
                <w:szCs w:val="16"/>
                <w:lang w:val="fr-FR"/>
              </w:rPr>
            </w:pPr>
          </w:p>
          <w:p w:rsidR="007804D1" w:rsidRPr="00D07C7C" w:rsidRDefault="007804D1" w:rsidP="00D07C7C">
            <w:pPr>
              <w:pStyle w:val="ECHRPara"/>
              <w:ind w:firstLine="0"/>
              <w:rPr>
                <w:rFonts w:cstheme="minorHAnsi"/>
                <w:sz w:val="16"/>
                <w:szCs w:val="16"/>
                <w:lang w:val="fr-FR"/>
              </w:rPr>
            </w:pPr>
            <w:r w:rsidRPr="00D07C7C">
              <w:rPr>
                <w:rFonts w:cstheme="minorHAnsi"/>
                <w:sz w:val="16"/>
                <w:szCs w:val="16"/>
                <w:lang w:val="fr-FR"/>
              </w:rPr>
              <w:t>M</w:t>
            </w:r>
            <w:r w:rsidRPr="00D07C7C">
              <w:rPr>
                <w:rFonts w:cstheme="minorHAnsi"/>
                <w:sz w:val="16"/>
                <w:szCs w:val="16"/>
                <w:vertAlign w:val="superscript"/>
                <w:lang w:val="fr-FR"/>
              </w:rPr>
              <w:t xml:space="preserve">e </w:t>
            </w:r>
            <w:r w:rsidRPr="00D07C7C">
              <w:rPr>
                <w:rFonts w:cstheme="minorHAnsi"/>
                <w:sz w:val="16"/>
                <w:szCs w:val="16"/>
                <w:lang w:val="fr-FR"/>
              </w:rPr>
              <w:t>C. NOVARO</w:t>
            </w:r>
          </w:p>
        </w:tc>
        <w:tc>
          <w:tcPr>
            <w:tcW w:w="3969" w:type="dxa"/>
          </w:tcPr>
          <w:p w:rsidR="007804D1" w:rsidRPr="00D07C7C" w:rsidRDefault="007804D1" w:rsidP="00D07C7C">
            <w:pPr>
              <w:pStyle w:val="ECHRPara"/>
              <w:ind w:firstLine="0"/>
              <w:rPr>
                <w:rFonts w:cstheme="minorHAnsi"/>
                <w:b/>
                <w:sz w:val="16"/>
                <w:szCs w:val="16"/>
                <w:lang w:val="fr-FR"/>
              </w:rPr>
            </w:pPr>
          </w:p>
          <w:p w:rsidR="007804D1" w:rsidRPr="00D07C7C" w:rsidRDefault="007804D1" w:rsidP="00D07C7C">
            <w:pPr>
              <w:pStyle w:val="ECHRPara"/>
              <w:ind w:firstLine="0"/>
              <w:rPr>
                <w:rFonts w:cstheme="minorHAnsi"/>
                <w:b/>
                <w:sz w:val="16"/>
                <w:szCs w:val="16"/>
                <w:lang w:val="fr-FR"/>
              </w:rPr>
            </w:pPr>
            <w:r w:rsidRPr="00D07C7C">
              <w:rPr>
                <w:rFonts w:cstheme="minorHAnsi"/>
                <w:b/>
                <w:sz w:val="16"/>
                <w:szCs w:val="16"/>
                <w:lang w:val="fr-FR"/>
              </w:rPr>
              <w:t>Laura JAEGER</w:t>
            </w:r>
          </w:p>
          <w:p w:rsidR="007804D1" w:rsidRPr="00D07C7C" w:rsidRDefault="007804D1" w:rsidP="00D07C7C">
            <w:pPr>
              <w:pStyle w:val="ECHRPara"/>
              <w:ind w:firstLine="0"/>
              <w:rPr>
                <w:rFonts w:cstheme="minorHAnsi"/>
                <w:sz w:val="16"/>
                <w:szCs w:val="16"/>
                <w:lang w:val="fr-FR"/>
              </w:rPr>
            </w:pPr>
          </w:p>
        </w:tc>
        <w:tc>
          <w:tcPr>
            <w:tcW w:w="2268" w:type="dxa"/>
          </w:tcPr>
          <w:p w:rsidR="007804D1" w:rsidRPr="00D07C7C" w:rsidRDefault="007804D1" w:rsidP="00D07C7C">
            <w:pPr>
              <w:pStyle w:val="ECHRPara"/>
              <w:ind w:firstLine="0"/>
              <w:rPr>
                <w:rFonts w:cstheme="minorHAnsi"/>
                <w:b/>
                <w:sz w:val="16"/>
                <w:szCs w:val="16"/>
                <w:lang w:val="fr-FR"/>
              </w:rPr>
            </w:pPr>
          </w:p>
          <w:p w:rsidR="007804D1" w:rsidRPr="00D07C7C" w:rsidRDefault="007804D1" w:rsidP="00D07C7C">
            <w:pPr>
              <w:pStyle w:val="ECHRPara"/>
              <w:ind w:firstLine="0"/>
              <w:rPr>
                <w:rFonts w:cstheme="minorHAnsi"/>
                <w:b/>
                <w:sz w:val="16"/>
                <w:szCs w:val="16"/>
                <w:lang w:val="fr-FR"/>
              </w:rPr>
            </w:pPr>
            <w:r w:rsidRPr="00D07C7C">
              <w:rPr>
                <w:rFonts w:cstheme="minorHAnsi"/>
                <w:b/>
                <w:sz w:val="16"/>
                <w:szCs w:val="16"/>
                <w:lang w:val="fr-FR"/>
              </w:rPr>
              <w:t>0 EUR</w:t>
            </w:r>
          </w:p>
        </w:tc>
      </w:tr>
      <w:tr w:rsidR="007804D1" w:rsidRPr="00D07C7C" w:rsidTr="00BE7CE0">
        <w:tc>
          <w:tcPr>
            <w:tcW w:w="2977" w:type="dxa"/>
          </w:tcPr>
          <w:p w:rsidR="007804D1" w:rsidRPr="00D07C7C" w:rsidRDefault="007804D1" w:rsidP="00D07C7C">
            <w:pPr>
              <w:pStyle w:val="ECHRPara"/>
              <w:ind w:firstLine="0"/>
              <w:rPr>
                <w:rFonts w:cstheme="minorHAnsi"/>
                <w:sz w:val="16"/>
                <w:szCs w:val="16"/>
                <w:lang w:val="fr-FR"/>
              </w:rPr>
            </w:pPr>
          </w:p>
          <w:p w:rsidR="007804D1" w:rsidRPr="00D07C7C" w:rsidRDefault="007804D1" w:rsidP="00D07C7C">
            <w:pPr>
              <w:pStyle w:val="ECHRPara"/>
              <w:ind w:firstLine="0"/>
              <w:rPr>
                <w:rFonts w:cstheme="minorHAnsi"/>
                <w:sz w:val="16"/>
                <w:szCs w:val="16"/>
                <w:lang w:val="fr-FR"/>
              </w:rPr>
            </w:pPr>
            <w:r w:rsidRPr="00D07C7C">
              <w:rPr>
                <w:rFonts w:cstheme="minorHAnsi"/>
                <w:sz w:val="16"/>
                <w:szCs w:val="16"/>
                <w:lang w:val="fr-FR"/>
              </w:rPr>
              <w:t>M</w:t>
            </w:r>
            <w:r w:rsidRPr="00D07C7C">
              <w:rPr>
                <w:rFonts w:cstheme="minorHAnsi"/>
                <w:sz w:val="16"/>
                <w:szCs w:val="16"/>
                <w:vertAlign w:val="superscript"/>
                <w:lang w:val="fr-FR"/>
              </w:rPr>
              <w:t xml:space="preserve">e </w:t>
            </w:r>
            <w:r w:rsidRPr="00D07C7C">
              <w:rPr>
                <w:rFonts w:cstheme="minorHAnsi"/>
                <w:sz w:val="16"/>
                <w:szCs w:val="16"/>
                <w:lang w:val="fr-FR"/>
              </w:rPr>
              <w:t>L. TARTARINI</w:t>
            </w:r>
          </w:p>
        </w:tc>
        <w:tc>
          <w:tcPr>
            <w:tcW w:w="3969" w:type="dxa"/>
          </w:tcPr>
          <w:p w:rsidR="007804D1" w:rsidRPr="00D07C7C" w:rsidRDefault="007804D1" w:rsidP="00D07C7C">
            <w:pPr>
              <w:pStyle w:val="ECHRPara"/>
              <w:ind w:firstLine="0"/>
              <w:rPr>
                <w:rFonts w:cstheme="minorHAnsi"/>
                <w:b/>
                <w:sz w:val="16"/>
                <w:szCs w:val="16"/>
              </w:rPr>
            </w:pPr>
          </w:p>
          <w:p w:rsidR="007804D1" w:rsidRPr="00D07C7C" w:rsidRDefault="007804D1" w:rsidP="00D07C7C">
            <w:pPr>
              <w:pStyle w:val="ECHRPara"/>
              <w:ind w:firstLine="0"/>
              <w:rPr>
                <w:rFonts w:cstheme="minorHAnsi"/>
                <w:b/>
                <w:sz w:val="16"/>
                <w:szCs w:val="16"/>
              </w:rPr>
            </w:pPr>
            <w:r w:rsidRPr="00D07C7C">
              <w:rPr>
                <w:rFonts w:cstheme="minorHAnsi"/>
                <w:b/>
                <w:sz w:val="16"/>
                <w:szCs w:val="16"/>
              </w:rPr>
              <w:t>Daniel Thomas ALBRECHT</w:t>
            </w:r>
          </w:p>
          <w:p w:rsidR="007804D1" w:rsidRPr="00D07C7C" w:rsidRDefault="007804D1" w:rsidP="00D07C7C">
            <w:pPr>
              <w:pStyle w:val="ECHRPara"/>
              <w:ind w:firstLine="0"/>
              <w:rPr>
                <w:rFonts w:cstheme="minorHAnsi"/>
                <w:b/>
                <w:sz w:val="16"/>
                <w:szCs w:val="16"/>
              </w:rPr>
            </w:pPr>
            <w:r w:rsidRPr="00D07C7C">
              <w:rPr>
                <w:rFonts w:cstheme="minorHAnsi"/>
                <w:b/>
                <w:sz w:val="16"/>
                <w:szCs w:val="16"/>
              </w:rPr>
              <w:t>Jens HERMANN</w:t>
            </w:r>
          </w:p>
          <w:p w:rsidR="007804D1" w:rsidRPr="00D07C7C" w:rsidRDefault="007804D1" w:rsidP="00D07C7C">
            <w:pPr>
              <w:pStyle w:val="ECHRPara"/>
              <w:ind w:firstLine="0"/>
              <w:rPr>
                <w:rFonts w:cstheme="minorHAnsi"/>
                <w:b/>
                <w:sz w:val="16"/>
                <w:szCs w:val="16"/>
              </w:rPr>
            </w:pPr>
            <w:r w:rsidRPr="00D07C7C">
              <w:rPr>
                <w:rFonts w:cstheme="minorHAnsi"/>
                <w:b/>
                <w:sz w:val="16"/>
                <w:szCs w:val="16"/>
              </w:rPr>
              <w:t>Niels MARTENSEN</w:t>
            </w:r>
          </w:p>
          <w:p w:rsidR="007804D1" w:rsidRPr="00D07C7C" w:rsidRDefault="007804D1" w:rsidP="00D07C7C">
            <w:pPr>
              <w:pStyle w:val="ECHRPara"/>
              <w:ind w:firstLine="0"/>
              <w:rPr>
                <w:rFonts w:cstheme="minorHAnsi"/>
                <w:b/>
                <w:sz w:val="16"/>
                <w:szCs w:val="16"/>
                <w:lang w:val="it-IT"/>
              </w:rPr>
            </w:pPr>
            <w:r w:rsidRPr="00D07C7C">
              <w:rPr>
                <w:rFonts w:cstheme="minorHAnsi"/>
                <w:b/>
                <w:sz w:val="16"/>
                <w:szCs w:val="16"/>
                <w:lang w:val="it-IT"/>
              </w:rPr>
              <w:t>Katrin OTTOVAY</w:t>
            </w:r>
          </w:p>
          <w:p w:rsidR="007804D1" w:rsidRPr="00D07C7C" w:rsidRDefault="007804D1" w:rsidP="00D07C7C">
            <w:pPr>
              <w:pStyle w:val="ECHRPara"/>
              <w:ind w:firstLine="0"/>
              <w:rPr>
                <w:rFonts w:cstheme="minorHAnsi"/>
                <w:b/>
                <w:sz w:val="16"/>
                <w:szCs w:val="16"/>
                <w:lang w:val="it-IT"/>
              </w:rPr>
            </w:pPr>
            <w:r w:rsidRPr="00D07C7C">
              <w:rPr>
                <w:rFonts w:cstheme="minorHAnsi"/>
                <w:b/>
                <w:sz w:val="16"/>
                <w:szCs w:val="16"/>
                <w:lang w:val="it-IT"/>
              </w:rPr>
              <w:t>Jonas SZABO</w:t>
            </w:r>
          </w:p>
          <w:p w:rsidR="007804D1" w:rsidRPr="00D07C7C" w:rsidRDefault="007804D1" w:rsidP="00D07C7C">
            <w:pPr>
              <w:pStyle w:val="ECHRPara"/>
              <w:ind w:firstLine="0"/>
              <w:rPr>
                <w:rFonts w:cstheme="minorHAnsi"/>
                <w:b/>
                <w:sz w:val="16"/>
                <w:szCs w:val="16"/>
                <w:lang w:val="it-IT"/>
              </w:rPr>
            </w:pPr>
            <w:r w:rsidRPr="00D07C7C">
              <w:rPr>
                <w:rFonts w:cstheme="minorHAnsi"/>
                <w:b/>
                <w:sz w:val="16"/>
                <w:szCs w:val="16"/>
                <w:lang w:val="it-IT"/>
              </w:rPr>
              <w:t xml:space="preserve">Guillermina GARCIA ZAPATERO </w:t>
            </w:r>
          </w:p>
        </w:tc>
        <w:tc>
          <w:tcPr>
            <w:tcW w:w="2268" w:type="dxa"/>
          </w:tcPr>
          <w:p w:rsidR="007804D1" w:rsidRPr="00D07C7C" w:rsidRDefault="007804D1" w:rsidP="00D07C7C">
            <w:pPr>
              <w:pStyle w:val="ECHRPara"/>
              <w:ind w:firstLine="0"/>
              <w:rPr>
                <w:rFonts w:cstheme="minorHAnsi"/>
                <w:b/>
                <w:sz w:val="16"/>
                <w:szCs w:val="16"/>
                <w:lang w:val="it-IT"/>
              </w:rPr>
            </w:pPr>
          </w:p>
          <w:p w:rsidR="007804D1" w:rsidRPr="00D07C7C" w:rsidRDefault="007804D1" w:rsidP="00D07C7C">
            <w:pPr>
              <w:pStyle w:val="ECHRPara"/>
              <w:ind w:firstLine="0"/>
              <w:rPr>
                <w:rFonts w:cstheme="minorHAnsi"/>
                <w:b/>
                <w:sz w:val="16"/>
                <w:szCs w:val="16"/>
                <w:lang w:val="fr-FR"/>
              </w:rPr>
            </w:pPr>
            <w:r w:rsidRPr="00D07C7C">
              <w:rPr>
                <w:rFonts w:cstheme="minorHAnsi"/>
                <w:b/>
                <w:sz w:val="16"/>
                <w:szCs w:val="16"/>
                <w:lang w:val="fr-FR"/>
              </w:rPr>
              <w:t>10 150 EUR</w:t>
            </w:r>
          </w:p>
        </w:tc>
      </w:tr>
      <w:tr w:rsidR="007804D1" w:rsidRPr="00D07C7C" w:rsidTr="00BE7CE0">
        <w:tc>
          <w:tcPr>
            <w:tcW w:w="2977" w:type="dxa"/>
          </w:tcPr>
          <w:p w:rsidR="007804D1" w:rsidRPr="00D07C7C" w:rsidRDefault="007804D1" w:rsidP="00D07C7C">
            <w:pPr>
              <w:pStyle w:val="ECHRPara"/>
              <w:ind w:firstLine="0"/>
              <w:rPr>
                <w:rFonts w:cstheme="minorHAnsi"/>
                <w:sz w:val="16"/>
                <w:szCs w:val="16"/>
                <w:lang w:val="fr-FR"/>
              </w:rPr>
            </w:pPr>
          </w:p>
          <w:p w:rsidR="007804D1" w:rsidRPr="00D07C7C" w:rsidRDefault="007804D1" w:rsidP="00D07C7C">
            <w:pPr>
              <w:pStyle w:val="ECHRPara"/>
              <w:ind w:firstLine="0"/>
              <w:rPr>
                <w:rFonts w:cstheme="minorHAnsi"/>
                <w:sz w:val="16"/>
                <w:szCs w:val="16"/>
                <w:lang w:val="fr-FR"/>
              </w:rPr>
            </w:pPr>
            <w:r w:rsidRPr="00D07C7C">
              <w:rPr>
                <w:rFonts w:cstheme="minorHAnsi"/>
                <w:sz w:val="16"/>
                <w:szCs w:val="16"/>
                <w:lang w:val="fr-FR"/>
              </w:rPr>
              <w:t>M</w:t>
            </w:r>
            <w:r w:rsidRPr="00D07C7C">
              <w:rPr>
                <w:rFonts w:cstheme="minorHAnsi"/>
                <w:sz w:val="16"/>
                <w:szCs w:val="16"/>
                <w:vertAlign w:val="superscript"/>
                <w:lang w:val="fr-FR"/>
              </w:rPr>
              <w:t xml:space="preserve">e </w:t>
            </w:r>
            <w:r w:rsidRPr="00D07C7C">
              <w:rPr>
                <w:rFonts w:cstheme="minorHAnsi"/>
                <w:sz w:val="16"/>
                <w:szCs w:val="16"/>
                <w:lang w:val="fr-FR"/>
              </w:rPr>
              <w:t>E. TAMBUSCIO</w:t>
            </w:r>
          </w:p>
        </w:tc>
        <w:tc>
          <w:tcPr>
            <w:tcW w:w="3969" w:type="dxa"/>
          </w:tcPr>
          <w:p w:rsidR="007804D1" w:rsidRPr="00D07C7C" w:rsidRDefault="007804D1" w:rsidP="00D07C7C">
            <w:pPr>
              <w:pStyle w:val="ECHRPara"/>
              <w:ind w:firstLine="0"/>
              <w:rPr>
                <w:rFonts w:cstheme="minorHAnsi"/>
                <w:sz w:val="16"/>
                <w:szCs w:val="16"/>
                <w:lang w:val="it-IT"/>
              </w:rPr>
            </w:pPr>
          </w:p>
          <w:p w:rsidR="007804D1" w:rsidRPr="00D07C7C" w:rsidRDefault="007804D1" w:rsidP="00D07C7C">
            <w:pPr>
              <w:pStyle w:val="ECHRPara"/>
              <w:ind w:firstLine="0"/>
              <w:rPr>
                <w:rFonts w:cstheme="minorHAnsi"/>
                <w:b/>
                <w:sz w:val="16"/>
                <w:szCs w:val="16"/>
                <w:lang w:val="it-IT"/>
              </w:rPr>
            </w:pPr>
            <w:r w:rsidRPr="00D07C7C">
              <w:rPr>
                <w:rFonts w:cstheme="minorHAnsi"/>
                <w:b/>
                <w:sz w:val="16"/>
                <w:szCs w:val="16"/>
                <w:lang w:val="it-IT"/>
              </w:rPr>
              <w:t>Rosana ALLUEVA FORTEA</w:t>
            </w:r>
          </w:p>
          <w:p w:rsidR="007804D1" w:rsidRPr="00D07C7C" w:rsidRDefault="007804D1" w:rsidP="00D07C7C">
            <w:pPr>
              <w:pStyle w:val="ECHRPara"/>
              <w:ind w:firstLine="0"/>
              <w:rPr>
                <w:rFonts w:cstheme="minorHAnsi"/>
                <w:b/>
                <w:sz w:val="16"/>
                <w:szCs w:val="16"/>
                <w:lang w:val="it-IT"/>
              </w:rPr>
            </w:pPr>
            <w:r w:rsidRPr="00D07C7C">
              <w:rPr>
                <w:rFonts w:cstheme="minorHAnsi"/>
                <w:b/>
                <w:sz w:val="16"/>
                <w:szCs w:val="16"/>
                <w:lang w:val="it-IT"/>
              </w:rPr>
              <w:t>Aitor Ruiz BALBAS</w:t>
            </w:r>
          </w:p>
          <w:p w:rsidR="007804D1" w:rsidRPr="00D07C7C" w:rsidRDefault="007804D1" w:rsidP="00D07C7C">
            <w:pPr>
              <w:pStyle w:val="ECHRPara"/>
              <w:ind w:firstLine="0"/>
              <w:rPr>
                <w:rFonts w:cstheme="minorHAnsi"/>
                <w:b/>
                <w:sz w:val="16"/>
                <w:szCs w:val="16"/>
                <w:lang w:val="it-IT"/>
              </w:rPr>
            </w:pPr>
            <w:r w:rsidRPr="00D07C7C">
              <w:rPr>
                <w:rFonts w:cstheme="minorHAnsi"/>
                <w:b/>
                <w:sz w:val="16"/>
                <w:szCs w:val="16"/>
                <w:lang w:val="it-IT"/>
              </w:rPr>
              <w:t>Valeria BRUSCHI</w:t>
            </w:r>
          </w:p>
          <w:p w:rsidR="007804D1" w:rsidRPr="00D07C7C" w:rsidRDefault="007804D1" w:rsidP="00D07C7C">
            <w:pPr>
              <w:pStyle w:val="ECHRPara"/>
              <w:ind w:firstLine="0"/>
              <w:rPr>
                <w:rFonts w:cstheme="minorHAnsi"/>
                <w:b/>
                <w:sz w:val="16"/>
                <w:szCs w:val="16"/>
                <w:lang w:val="it-IT"/>
              </w:rPr>
            </w:pPr>
            <w:r w:rsidRPr="00D07C7C">
              <w:rPr>
                <w:rFonts w:cstheme="minorHAnsi"/>
                <w:b/>
                <w:sz w:val="16"/>
                <w:szCs w:val="16"/>
                <w:lang w:val="it-IT"/>
              </w:rPr>
              <w:t>Simona DIGENTI</w:t>
            </w:r>
          </w:p>
          <w:p w:rsidR="007804D1" w:rsidRPr="00D07C7C" w:rsidRDefault="007804D1" w:rsidP="00D07C7C">
            <w:pPr>
              <w:pStyle w:val="ECHRPara"/>
              <w:ind w:firstLine="0"/>
              <w:rPr>
                <w:rFonts w:cstheme="minorHAnsi"/>
                <w:b/>
                <w:sz w:val="16"/>
                <w:szCs w:val="16"/>
                <w:lang w:val="es-ES_tradnl"/>
              </w:rPr>
            </w:pPr>
            <w:r w:rsidRPr="00D07C7C">
              <w:rPr>
                <w:rFonts w:cstheme="minorHAnsi"/>
                <w:b/>
                <w:sz w:val="16"/>
                <w:szCs w:val="16"/>
                <w:lang w:val="es-ES_tradnl"/>
              </w:rPr>
              <w:t>Francisco Javier MADRAZO SANZ</w:t>
            </w:r>
          </w:p>
          <w:p w:rsidR="007804D1" w:rsidRPr="00D07C7C" w:rsidRDefault="007804D1" w:rsidP="00D07C7C">
            <w:pPr>
              <w:pStyle w:val="ECHRPara"/>
              <w:ind w:firstLine="0"/>
              <w:rPr>
                <w:rFonts w:cstheme="minorHAnsi"/>
                <w:b/>
                <w:sz w:val="16"/>
                <w:szCs w:val="16"/>
                <w:lang w:val="es-ES_tradnl"/>
              </w:rPr>
            </w:pPr>
            <w:r w:rsidRPr="00D07C7C">
              <w:rPr>
                <w:rFonts w:cstheme="minorHAnsi"/>
                <w:b/>
                <w:sz w:val="16"/>
                <w:szCs w:val="16"/>
                <w:lang w:val="es-ES_tradnl"/>
              </w:rPr>
              <w:t>Felix Pablo MARQUELLO</w:t>
            </w:r>
          </w:p>
          <w:p w:rsidR="007804D1" w:rsidRPr="00D07C7C" w:rsidRDefault="007804D1" w:rsidP="00D07C7C">
            <w:pPr>
              <w:pStyle w:val="ECHRPara"/>
              <w:ind w:firstLine="0"/>
              <w:rPr>
                <w:rFonts w:cstheme="minorHAnsi"/>
                <w:b/>
                <w:sz w:val="16"/>
                <w:szCs w:val="16"/>
                <w:lang w:val="pt-PT"/>
              </w:rPr>
            </w:pPr>
            <w:r w:rsidRPr="00D07C7C">
              <w:rPr>
                <w:rFonts w:cstheme="minorHAnsi"/>
                <w:b/>
                <w:sz w:val="16"/>
                <w:szCs w:val="16"/>
                <w:lang w:val="pt-PT"/>
              </w:rPr>
              <w:t>Guillermo PAZ MASSÓ</w:t>
            </w:r>
          </w:p>
          <w:p w:rsidR="007804D1" w:rsidRPr="00D07C7C" w:rsidRDefault="007804D1" w:rsidP="00D07C7C">
            <w:pPr>
              <w:pStyle w:val="ECHRPara"/>
              <w:ind w:firstLine="0"/>
              <w:rPr>
                <w:rFonts w:cstheme="minorHAnsi"/>
                <w:b/>
                <w:sz w:val="16"/>
                <w:szCs w:val="16"/>
                <w:lang w:val="pt-PT"/>
              </w:rPr>
            </w:pPr>
            <w:r w:rsidRPr="00D07C7C">
              <w:rPr>
                <w:rFonts w:cstheme="minorHAnsi"/>
                <w:b/>
                <w:sz w:val="16"/>
                <w:szCs w:val="16"/>
                <w:lang w:val="pt-PT"/>
              </w:rPr>
              <w:t>David MORET FERNANDEZ</w:t>
            </w:r>
          </w:p>
          <w:p w:rsidR="007804D1" w:rsidRPr="00D07C7C" w:rsidRDefault="007804D1" w:rsidP="00D07C7C">
            <w:pPr>
              <w:pStyle w:val="ECHRPara"/>
              <w:ind w:firstLine="0"/>
              <w:rPr>
                <w:rFonts w:cstheme="minorHAnsi"/>
                <w:b/>
                <w:sz w:val="16"/>
                <w:szCs w:val="16"/>
                <w:lang w:val="es-ES_tradnl"/>
              </w:rPr>
            </w:pPr>
            <w:r w:rsidRPr="00D07C7C">
              <w:rPr>
                <w:rFonts w:cstheme="minorHAnsi"/>
                <w:b/>
                <w:sz w:val="16"/>
                <w:szCs w:val="16"/>
                <w:lang w:val="es-ES_tradnl"/>
              </w:rPr>
              <w:t>Francho Chavier NOGUERAS CORRAL</w:t>
            </w:r>
          </w:p>
          <w:p w:rsidR="007804D1" w:rsidRPr="00D07C7C" w:rsidRDefault="007804D1" w:rsidP="00D07C7C">
            <w:pPr>
              <w:pStyle w:val="ECHRPara"/>
              <w:ind w:firstLine="0"/>
              <w:rPr>
                <w:rFonts w:cstheme="minorHAnsi"/>
                <w:b/>
                <w:sz w:val="16"/>
                <w:szCs w:val="16"/>
                <w:lang w:val="es-ES_tradnl"/>
              </w:rPr>
            </w:pPr>
            <w:r w:rsidRPr="00D07C7C">
              <w:rPr>
                <w:rFonts w:cstheme="minorHAnsi"/>
                <w:b/>
                <w:sz w:val="16"/>
                <w:szCs w:val="16"/>
                <w:lang w:val="es-ES_tradnl"/>
              </w:rPr>
              <w:t>Federico PRIMOSIG</w:t>
            </w:r>
          </w:p>
          <w:p w:rsidR="007804D1" w:rsidRPr="00D07C7C" w:rsidRDefault="007804D1" w:rsidP="00D07C7C">
            <w:pPr>
              <w:pStyle w:val="ECHRPara"/>
              <w:ind w:firstLine="0"/>
              <w:rPr>
                <w:rFonts w:cstheme="minorHAnsi"/>
                <w:b/>
                <w:sz w:val="16"/>
                <w:szCs w:val="16"/>
                <w:lang w:val="es-ES_tradnl"/>
              </w:rPr>
            </w:pPr>
            <w:r w:rsidRPr="00D07C7C">
              <w:rPr>
                <w:rFonts w:cstheme="minorHAnsi"/>
                <w:b/>
                <w:sz w:val="16"/>
                <w:szCs w:val="16"/>
                <w:lang w:val="es-ES_tradnl"/>
              </w:rPr>
              <w:t>Benito Francisco Javier SAMPERIZ</w:t>
            </w:r>
          </w:p>
          <w:p w:rsidR="007804D1" w:rsidRPr="00D07C7C" w:rsidRDefault="007804D1" w:rsidP="00D07C7C">
            <w:pPr>
              <w:pStyle w:val="ECHRPara"/>
              <w:ind w:firstLine="0"/>
              <w:rPr>
                <w:rFonts w:cstheme="minorHAnsi"/>
                <w:b/>
                <w:sz w:val="16"/>
                <w:szCs w:val="16"/>
                <w:lang w:val="es-ES_tradnl"/>
              </w:rPr>
            </w:pPr>
            <w:r w:rsidRPr="00D07C7C">
              <w:rPr>
                <w:rFonts w:cstheme="minorHAnsi"/>
                <w:b/>
                <w:sz w:val="16"/>
                <w:szCs w:val="16"/>
                <w:lang w:val="es-ES_tradnl"/>
              </w:rPr>
              <w:t>José Luis SICILIA</w:t>
            </w:r>
          </w:p>
          <w:p w:rsidR="007804D1" w:rsidRPr="00D07C7C" w:rsidRDefault="007804D1" w:rsidP="00D07C7C">
            <w:pPr>
              <w:pStyle w:val="ECHRPara"/>
              <w:ind w:firstLine="0"/>
              <w:rPr>
                <w:rFonts w:cstheme="minorHAnsi"/>
                <w:sz w:val="16"/>
                <w:szCs w:val="16"/>
                <w:lang w:val="es-ES_tradnl"/>
              </w:rPr>
            </w:pPr>
          </w:p>
        </w:tc>
        <w:tc>
          <w:tcPr>
            <w:tcW w:w="2268" w:type="dxa"/>
          </w:tcPr>
          <w:p w:rsidR="007804D1" w:rsidRPr="00D07C7C" w:rsidRDefault="007804D1" w:rsidP="00D07C7C">
            <w:pPr>
              <w:pStyle w:val="ECHRPara"/>
              <w:ind w:firstLine="0"/>
              <w:rPr>
                <w:rFonts w:cstheme="minorHAnsi"/>
                <w:b/>
                <w:sz w:val="16"/>
                <w:szCs w:val="16"/>
                <w:lang w:val="es-ES_tradnl"/>
              </w:rPr>
            </w:pPr>
          </w:p>
          <w:p w:rsidR="007804D1" w:rsidRPr="00D07C7C" w:rsidRDefault="007804D1" w:rsidP="00D07C7C">
            <w:pPr>
              <w:pStyle w:val="ECHRPara"/>
              <w:ind w:firstLine="0"/>
              <w:rPr>
                <w:rFonts w:cstheme="minorHAnsi"/>
                <w:b/>
                <w:sz w:val="16"/>
                <w:szCs w:val="16"/>
                <w:lang w:val="fr-FR"/>
              </w:rPr>
            </w:pPr>
            <w:r w:rsidRPr="00D07C7C">
              <w:rPr>
                <w:rFonts w:cstheme="minorHAnsi"/>
                <w:b/>
                <w:sz w:val="16"/>
                <w:szCs w:val="16"/>
                <w:lang w:val="fr-FR"/>
              </w:rPr>
              <w:t>12 000 EUR</w:t>
            </w:r>
          </w:p>
        </w:tc>
      </w:tr>
      <w:tr w:rsidR="007804D1" w:rsidRPr="00D07C7C" w:rsidTr="00BE7CE0">
        <w:tc>
          <w:tcPr>
            <w:tcW w:w="2977" w:type="dxa"/>
          </w:tcPr>
          <w:p w:rsidR="007804D1" w:rsidRPr="00D07C7C" w:rsidRDefault="007804D1" w:rsidP="00D07C7C">
            <w:pPr>
              <w:pStyle w:val="ECHRPara"/>
              <w:ind w:firstLine="0"/>
              <w:rPr>
                <w:rFonts w:cstheme="minorHAnsi"/>
                <w:sz w:val="16"/>
                <w:szCs w:val="16"/>
                <w:lang w:val="fr-FR"/>
              </w:rPr>
            </w:pPr>
          </w:p>
          <w:p w:rsidR="007804D1" w:rsidRPr="00D07C7C" w:rsidRDefault="007804D1" w:rsidP="00D07C7C">
            <w:pPr>
              <w:pStyle w:val="ECHRPara"/>
              <w:ind w:firstLine="0"/>
              <w:rPr>
                <w:rFonts w:cstheme="minorHAnsi"/>
                <w:sz w:val="16"/>
                <w:szCs w:val="16"/>
                <w:lang w:val="fr-FR"/>
              </w:rPr>
            </w:pPr>
            <w:r w:rsidRPr="00D07C7C">
              <w:rPr>
                <w:rFonts w:cstheme="minorHAnsi"/>
                <w:sz w:val="16"/>
                <w:szCs w:val="16"/>
                <w:lang w:val="fr-FR"/>
              </w:rPr>
              <w:t>M</w:t>
            </w:r>
            <w:r w:rsidRPr="00D07C7C">
              <w:rPr>
                <w:rFonts w:cstheme="minorHAnsi"/>
                <w:sz w:val="16"/>
                <w:szCs w:val="16"/>
                <w:vertAlign w:val="superscript"/>
                <w:lang w:val="fr-FR"/>
              </w:rPr>
              <w:t xml:space="preserve">e </w:t>
            </w:r>
            <w:r w:rsidRPr="00D07C7C">
              <w:rPr>
                <w:rFonts w:cstheme="minorHAnsi"/>
                <w:sz w:val="16"/>
                <w:szCs w:val="16"/>
                <w:lang w:val="fr-FR"/>
              </w:rPr>
              <w:t>M. PASTORE</w:t>
            </w:r>
          </w:p>
        </w:tc>
        <w:tc>
          <w:tcPr>
            <w:tcW w:w="3969" w:type="dxa"/>
          </w:tcPr>
          <w:p w:rsidR="007804D1" w:rsidRPr="00D07C7C" w:rsidRDefault="007804D1" w:rsidP="00D07C7C">
            <w:pPr>
              <w:pStyle w:val="ECHRPara"/>
              <w:ind w:firstLine="0"/>
              <w:rPr>
                <w:rFonts w:cstheme="minorHAnsi"/>
                <w:sz w:val="16"/>
                <w:szCs w:val="16"/>
                <w:lang w:val="es-ES_tradnl"/>
              </w:rPr>
            </w:pPr>
          </w:p>
          <w:p w:rsidR="007804D1" w:rsidRPr="00D07C7C" w:rsidRDefault="007804D1" w:rsidP="00D07C7C">
            <w:pPr>
              <w:pStyle w:val="ECHRPara"/>
              <w:ind w:firstLine="0"/>
              <w:rPr>
                <w:rFonts w:cstheme="minorHAnsi"/>
                <w:sz w:val="16"/>
                <w:szCs w:val="16"/>
                <w:lang w:val="es-ES_tradnl"/>
              </w:rPr>
            </w:pPr>
            <w:r w:rsidRPr="00D07C7C">
              <w:rPr>
                <w:rFonts w:cstheme="minorHAnsi"/>
                <w:b/>
                <w:sz w:val="16"/>
                <w:szCs w:val="16"/>
                <w:lang w:val="es-ES_tradnl"/>
              </w:rPr>
              <w:t>Michael GIESER</w:t>
            </w:r>
          </w:p>
          <w:p w:rsidR="007804D1" w:rsidRPr="00D07C7C" w:rsidRDefault="007804D1" w:rsidP="00D07C7C">
            <w:pPr>
              <w:pStyle w:val="ECHRPara"/>
              <w:ind w:firstLine="0"/>
              <w:rPr>
                <w:rFonts w:cstheme="minorHAnsi"/>
                <w:b/>
                <w:sz w:val="16"/>
                <w:szCs w:val="16"/>
                <w:lang w:val="es-ES_tradnl"/>
              </w:rPr>
            </w:pPr>
            <w:r w:rsidRPr="00D07C7C">
              <w:rPr>
                <w:rFonts w:cstheme="minorHAnsi"/>
                <w:b/>
                <w:sz w:val="16"/>
                <w:szCs w:val="16"/>
                <w:lang w:val="es-ES_tradnl"/>
              </w:rPr>
              <w:t>Yasar Suna GOL</w:t>
            </w:r>
          </w:p>
          <w:p w:rsidR="007804D1" w:rsidRPr="00D07C7C" w:rsidRDefault="007804D1" w:rsidP="00D07C7C">
            <w:pPr>
              <w:pStyle w:val="ECHRPara"/>
              <w:ind w:firstLine="0"/>
              <w:rPr>
                <w:rFonts w:cstheme="minorHAnsi"/>
                <w:sz w:val="16"/>
                <w:szCs w:val="16"/>
                <w:lang w:val="es-ES_tradnl"/>
              </w:rPr>
            </w:pPr>
          </w:p>
        </w:tc>
        <w:tc>
          <w:tcPr>
            <w:tcW w:w="2268" w:type="dxa"/>
          </w:tcPr>
          <w:p w:rsidR="007804D1" w:rsidRPr="00D07C7C" w:rsidRDefault="007804D1" w:rsidP="00D07C7C">
            <w:pPr>
              <w:pStyle w:val="ECHRPara"/>
              <w:ind w:firstLine="0"/>
              <w:rPr>
                <w:rFonts w:cstheme="minorHAnsi"/>
                <w:b/>
                <w:sz w:val="16"/>
                <w:szCs w:val="16"/>
                <w:lang w:val="es-ES_tradnl"/>
              </w:rPr>
            </w:pPr>
          </w:p>
          <w:p w:rsidR="007804D1" w:rsidRPr="00D07C7C" w:rsidRDefault="007804D1" w:rsidP="00D07C7C">
            <w:pPr>
              <w:pStyle w:val="ECHRPara"/>
              <w:ind w:firstLine="0"/>
              <w:rPr>
                <w:rFonts w:cstheme="minorHAnsi"/>
                <w:b/>
                <w:sz w:val="16"/>
                <w:szCs w:val="16"/>
                <w:lang w:val="fr-FR"/>
              </w:rPr>
            </w:pPr>
            <w:r w:rsidRPr="00D07C7C">
              <w:rPr>
                <w:rFonts w:cstheme="minorHAnsi"/>
                <w:b/>
                <w:sz w:val="16"/>
                <w:szCs w:val="16"/>
                <w:lang w:val="fr-FR"/>
              </w:rPr>
              <w:t>2 530 EUR</w:t>
            </w:r>
          </w:p>
        </w:tc>
      </w:tr>
      <w:tr w:rsidR="007804D1" w:rsidRPr="00D07C7C" w:rsidTr="00BE7CE0">
        <w:tc>
          <w:tcPr>
            <w:tcW w:w="2977" w:type="dxa"/>
          </w:tcPr>
          <w:p w:rsidR="007804D1" w:rsidRPr="00D07C7C" w:rsidRDefault="007804D1" w:rsidP="00D07C7C">
            <w:pPr>
              <w:pStyle w:val="ECHRPara"/>
              <w:ind w:firstLine="0"/>
              <w:rPr>
                <w:rFonts w:cstheme="minorHAnsi"/>
                <w:sz w:val="16"/>
                <w:szCs w:val="16"/>
                <w:lang w:val="fr-FR"/>
              </w:rPr>
            </w:pPr>
          </w:p>
          <w:p w:rsidR="007804D1" w:rsidRPr="00D07C7C" w:rsidRDefault="007804D1" w:rsidP="00D07C7C">
            <w:pPr>
              <w:pStyle w:val="ECHRPara"/>
              <w:ind w:firstLine="0"/>
              <w:rPr>
                <w:rFonts w:cstheme="minorHAnsi"/>
                <w:sz w:val="16"/>
                <w:szCs w:val="16"/>
                <w:lang w:val="fr-FR"/>
              </w:rPr>
            </w:pPr>
            <w:r w:rsidRPr="00D07C7C">
              <w:rPr>
                <w:rFonts w:cstheme="minorHAnsi"/>
                <w:sz w:val="16"/>
                <w:szCs w:val="16"/>
                <w:lang w:val="fr-FR"/>
              </w:rPr>
              <w:t>M</w:t>
            </w:r>
            <w:r w:rsidRPr="00D07C7C">
              <w:rPr>
                <w:rFonts w:cstheme="minorHAnsi"/>
                <w:sz w:val="16"/>
                <w:szCs w:val="16"/>
                <w:vertAlign w:val="superscript"/>
                <w:lang w:val="fr-FR"/>
              </w:rPr>
              <w:t xml:space="preserve">e </w:t>
            </w:r>
            <w:r w:rsidRPr="00D07C7C">
              <w:rPr>
                <w:rFonts w:cstheme="minorHAnsi"/>
                <w:sz w:val="16"/>
                <w:szCs w:val="16"/>
                <w:lang w:val="fr-FR"/>
              </w:rPr>
              <w:t>F. GUIGLIA</w:t>
            </w:r>
          </w:p>
        </w:tc>
        <w:tc>
          <w:tcPr>
            <w:tcW w:w="3969" w:type="dxa"/>
          </w:tcPr>
          <w:p w:rsidR="007804D1" w:rsidRPr="00D07C7C" w:rsidRDefault="007804D1" w:rsidP="00D07C7C">
            <w:pPr>
              <w:pStyle w:val="ECHRPara"/>
              <w:ind w:firstLine="0"/>
              <w:rPr>
                <w:rFonts w:cstheme="minorHAnsi"/>
                <w:b/>
                <w:sz w:val="16"/>
                <w:szCs w:val="16"/>
                <w:lang w:val="es-ES_tradnl"/>
              </w:rPr>
            </w:pPr>
          </w:p>
          <w:p w:rsidR="007804D1" w:rsidRPr="00D07C7C" w:rsidRDefault="007804D1" w:rsidP="00D07C7C">
            <w:pPr>
              <w:pStyle w:val="ECHRPara"/>
              <w:ind w:firstLine="0"/>
              <w:rPr>
                <w:rFonts w:cstheme="minorHAnsi"/>
                <w:b/>
                <w:sz w:val="16"/>
                <w:szCs w:val="16"/>
                <w:lang w:val="es-ES_tradnl"/>
              </w:rPr>
            </w:pPr>
            <w:r w:rsidRPr="00D07C7C">
              <w:rPr>
                <w:rFonts w:cstheme="minorHAnsi"/>
                <w:b/>
                <w:sz w:val="16"/>
                <w:szCs w:val="16"/>
                <w:lang w:val="es-ES_tradnl"/>
              </w:rPr>
              <w:t>Holger KRESS</w:t>
            </w:r>
          </w:p>
          <w:p w:rsidR="007804D1" w:rsidRPr="00D07C7C" w:rsidRDefault="007804D1" w:rsidP="00D07C7C">
            <w:pPr>
              <w:pStyle w:val="ECHRPara"/>
              <w:ind w:firstLine="0"/>
              <w:rPr>
                <w:rFonts w:cstheme="minorHAnsi"/>
                <w:b/>
                <w:sz w:val="16"/>
                <w:szCs w:val="16"/>
                <w:lang w:val="es-ES_tradnl"/>
              </w:rPr>
            </w:pPr>
            <w:r w:rsidRPr="00D07C7C">
              <w:rPr>
                <w:rFonts w:cstheme="minorHAnsi"/>
                <w:b/>
                <w:sz w:val="16"/>
                <w:szCs w:val="16"/>
                <w:lang w:val="es-ES_tradnl"/>
              </w:rPr>
              <w:t>Dolores HERRERO VILLAMOR</w:t>
            </w:r>
          </w:p>
          <w:p w:rsidR="007804D1" w:rsidRPr="00D07C7C" w:rsidRDefault="007804D1" w:rsidP="00D07C7C">
            <w:pPr>
              <w:pStyle w:val="ECHRPara"/>
              <w:ind w:firstLine="0"/>
              <w:rPr>
                <w:rFonts w:cstheme="minorHAnsi"/>
                <w:b/>
                <w:sz w:val="16"/>
                <w:szCs w:val="16"/>
                <w:lang w:val="es-ES_tradnl"/>
              </w:rPr>
            </w:pPr>
            <w:r w:rsidRPr="00D07C7C">
              <w:rPr>
                <w:rFonts w:cstheme="minorHAnsi"/>
                <w:b/>
                <w:sz w:val="16"/>
                <w:szCs w:val="16"/>
                <w:lang w:val="es-ES_tradnl"/>
              </w:rPr>
              <w:t>Sebastian ZEHATSCHEK</w:t>
            </w:r>
          </w:p>
          <w:p w:rsidR="007804D1" w:rsidRPr="00D07C7C" w:rsidRDefault="007804D1" w:rsidP="00D07C7C">
            <w:pPr>
              <w:pStyle w:val="ECHRPara"/>
              <w:ind w:firstLine="0"/>
              <w:rPr>
                <w:rFonts w:cstheme="minorHAnsi"/>
                <w:b/>
                <w:sz w:val="16"/>
                <w:szCs w:val="16"/>
                <w:lang w:val="es-ES_tradnl"/>
              </w:rPr>
            </w:pPr>
            <w:r w:rsidRPr="00D07C7C">
              <w:rPr>
                <w:rFonts w:cstheme="minorHAnsi"/>
                <w:b/>
                <w:sz w:val="16"/>
                <w:szCs w:val="16"/>
                <w:lang w:val="es-ES_tradnl"/>
              </w:rPr>
              <w:t>Lena ZUHLKE</w:t>
            </w:r>
          </w:p>
          <w:p w:rsidR="007804D1" w:rsidRPr="00D07C7C" w:rsidRDefault="007804D1" w:rsidP="00D07C7C">
            <w:pPr>
              <w:pStyle w:val="ECHRPara"/>
              <w:ind w:firstLine="0"/>
              <w:rPr>
                <w:rFonts w:cstheme="minorHAnsi"/>
                <w:b/>
                <w:sz w:val="16"/>
                <w:szCs w:val="16"/>
                <w:lang w:val="es-ES_tradnl"/>
              </w:rPr>
            </w:pPr>
          </w:p>
        </w:tc>
        <w:tc>
          <w:tcPr>
            <w:tcW w:w="2268" w:type="dxa"/>
          </w:tcPr>
          <w:p w:rsidR="007804D1" w:rsidRPr="00D07C7C" w:rsidRDefault="007804D1" w:rsidP="00D07C7C">
            <w:pPr>
              <w:pStyle w:val="ECHRPara"/>
              <w:ind w:firstLine="0"/>
              <w:rPr>
                <w:rFonts w:cstheme="minorHAnsi"/>
                <w:b/>
                <w:sz w:val="16"/>
                <w:szCs w:val="16"/>
                <w:lang w:val="es-ES_tradnl"/>
              </w:rPr>
            </w:pPr>
          </w:p>
          <w:p w:rsidR="007804D1" w:rsidRPr="00D07C7C" w:rsidRDefault="007804D1" w:rsidP="00D07C7C">
            <w:pPr>
              <w:pStyle w:val="ECHRPara"/>
              <w:ind w:firstLine="0"/>
              <w:rPr>
                <w:rFonts w:cstheme="minorHAnsi"/>
                <w:b/>
                <w:sz w:val="16"/>
                <w:szCs w:val="16"/>
                <w:lang w:val="fr-FR"/>
              </w:rPr>
            </w:pPr>
            <w:r w:rsidRPr="00D07C7C">
              <w:rPr>
                <w:rFonts w:cstheme="minorHAnsi"/>
                <w:b/>
                <w:sz w:val="16"/>
                <w:szCs w:val="16"/>
                <w:lang w:val="fr-FR"/>
              </w:rPr>
              <w:t>7 610 EUR</w:t>
            </w:r>
          </w:p>
        </w:tc>
      </w:tr>
      <w:tr w:rsidR="007804D1" w:rsidRPr="00D07C7C" w:rsidTr="00F20E07">
        <w:trPr>
          <w:cantSplit/>
        </w:trPr>
        <w:tc>
          <w:tcPr>
            <w:tcW w:w="2977" w:type="dxa"/>
          </w:tcPr>
          <w:p w:rsidR="007804D1" w:rsidRPr="00D07C7C" w:rsidRDefault="007804D1" w:rsidP="00D07C7C">
            <w:pPr>
              <w:pStyle w:val="ECHRPara"/>
              <w:ind w:firstLine="0"/>
              <w:rPr>
                <w:rFonts w:cstheme="minorHAnsi"/>
                <w:sz w:val="16"/>
                <w:szCs w:val="16"/>
                <w:lang w:val="fr-FR"/>
              </w:rPr>
            </w:pPr>
            <w:r w:rsidRPr="00D07C7C">
              <w:rPr>
                <w:rFonts w:cstheme="minorHAnsi"/>
                <w:sz w:val="16"/>
                <w:szCs w:val="16"/>
                <w:lang w:val="fr-FR"/>
              </w:rPr>
              <w:lastRenderedPageBreak/>
              <w:t>M</w:t>
            </w:r>
            <w:r w:rsidRPr="00D07C7C">
              <w:rPr>
                <w:rFonts w:cstheme="minorHAnsi"/>
                <w:sz w:val="16"/>
                <w:szCs w:val="16"/>
                <w:vertAlign w:val="superscript"/>
                <w:lang w:val="fr-FR"/>
              </w:rPr>
              <w:t xml:space="preserve">e </w:t>
            </w:r>
            <w:r w:rsidRPr="00D07C7C">
              <w:rPr>
                <w:rFonts w:cstheme="minorHAnsi"/>
                <w:sz w:val="16"/>
                <w:szCs w:val="16"/>
                <w:lang w:val="fr-FR"/>
              </w:rPr>
              <w:t>R. PASSEGGI</w:t>
            </w:r>
          </w:p>
        </w:tc>
        <w:tc>
          <w:tcPr>
            <w:tcW w:w="3969" w:type="dxa"/>
          </w:tcPr>
          <w:p w:rsidR="007804D1" w:rsidRPr="00D07C7C" w:rsidRDefault="007804D1" w:rsidP="00D07C7C">
            <w:pPr>
              <w:pStyle w:val="ECHRPara"/>
              <w:ind w:firstLine="0"/>
              <w:rPr>
                <w:rFonts w:cstheme="minorHAnsi"/>
                <w:b/>
                <w:sz w:val="16"/>
                <w:szCs w:val="16"/>
                <w:lang w:val="fr-FR"/>
              </w:rPr>
            </w:pPr>
            <w:r w:rsidRPr="00D07C7C">
              <w:rPr>
                <w:rFonts w:cstheme="minorHAnsi"/>
                <w:b/>
                <w:sz w:val="16"/>
                <w:szCs w:val="16"/>
                <w:lang w:val="fr-FR"/>
              </w:rPr>
              <w:t>Anna Julia KUTSCHKAU</w:t>
            </w:r>
          </w:p>
          <w:p w:rsidR="007804D1" w:rsidRPr="00D07C7C" w:rsidRDefault="007804D1" w:rsidP="00D07C7C">
            <w:pPr>
              <w:pStyle w:val="ECHRPara"/>
              <w:ind w:firstLine="0"/>
              <w:rPr>
                <w:rFonts w:cstheme="minorHAnsi"/>
                <w:b/>
                <w:sz w:val="16"/>
                <w:szCs w:val="16"/>
                <w:lang w:val="fr-FR"/>
              </w:rPr>
            </w:pPr>
          </w:p>
        </w:tc>
        <w:tc>
          <w:tcPr>
            <w:tcW w:w="2268" w:type="dxa"/>
          </w:tcPr>
          <w:p w:rsidR="007804D1" w:rsidRPr="00D07C7C" w:rsidRDefault="007804D1" w:rsidP="00D07C7C">
            <w:pPr>
              <w:pStyle w:val="ECHRPara"/>
              <w:ind w:firstLine="0"/>
              <w:rPr>
                <w:rFonts w:cstheme="minorHAnsi"/>
                <w:b/>
                <w:sz w:val="16"/>
                <w:szCs w:val="16"/>
                <w:lang w:val="it-IT"/>
              </w:rPr>
            </w:pPr>
            <w:r w:rsidRPr="00D07C7C">
              <w:rPr>
                <w:rFonts w:cstheme="minorHAnsi"/>
                <w:b/>
                <w:sz w:val="16"/>
                <w:szCs w:val="16"/>
                <w:lang w:val="fr-FR"/>
              </w:rPr>
              <w:t>1 5</w:t>
            </w:r>
            <w:r w:rsidRPr="00D07C7C">
              <w:rPr>
                <w:rFonts w:cstheme="minorHAnsi"/>
                <w:b/>
                <w:sz w:val="16"/>
                <w:szCs w:val="16"/>
                <w:lang w:val="it-IT"/>
              </w:rPr>
              <w:t>00 EUR</w:t>
            </w:r>
          </w:p>
        </w:tc>
      </w:tr>
      <w:tr w:rsidR="007804D1" w:rsidRPr="00D07C7C" w:rsidTr="00BE7CE0">
        <w:tc>
          <w:tcPr>
            <w:tcW w:w="2977" w:type="dxa"/>
          </w:tcPr>
          <w:p w:rsidR="007804D1" w:rsidRPr="00D07C7C" w:rsidRDefault="007804D1" w:rsidP="00D07C7C">
            <w:pPr>
              <w:pStyle w:val="ECHRPara"/>
              <w:ind w:firstLine="0"/>
              <w:rPr>
                <w:rFonts w:cstheme="minorHAnsi"/>
                <w:sz w:val="16"/>
                <w:szCs w:val="16"/>
                <w:lang w:val="it-IT"/>
              </w:rPr>
            </w:pPr>
          </w:p>
          <w:p w:rsidR="007804D1" w:rsidRPr="00D07C7C" w:rsidRDefault="007804D1" w:rsidP="00D07C7C">
            <w:pPr>
              <w:pStyle w:val="ECHRPara"/>
              <w:ind w:firstLine="0"/>
              <w:rPr>
                <w:rFonts w:cstheme="minorHAnsi"/>
                <w:sz w:val="16"/>
                <w:szCs w:val="16"/>
                <w:lang w:val="it-IT"/>
              </w:rPr>
            </w:pPr>
            <w:r w:rsidRPr="00D07C7C">
              <w:rPr>
                <w:rFonts w:cstheme="minorHAnsi"/>
                <w:sz w:val="16"/>
                <w:szCs w:val="16"/>
                <w:lang w:val="it-IT"/>
              </w:rPr>
              <w:t>M</w:t>
            </w:r>
            <w:r w:rsidRPr="00D07C7C">
              <w:rPr>
                <w:rFonts w:cstheme="minorHAnsi"/>
                <w:sz w:val="16"/>
                <w:szCs w:val="16"/>
                <w:vertAlign w:val="superscript"/>
                <w:lang w:val="it-IT"/>
              </w:rPr>
              <w:t xml:space="preserve">e </w:t>
            </w:r>
            <w:r w:rsidRPr="00D07C7C">
              <w:rPr>
                <w:rFonts w:cstheme="minorHAnsi"/>
                <w:sz w:val="16"/>
                <w:szCs w:val="16"/>
                <w:lang w:val="it-IT"/>
              </w:rPr>
              <w:t>P. ANTIMIANI</w:t>
            </w:r>
          </w:p>
          <w:p w:rsidR="007804D1" w:rsidRPr="00D07C7C" w:rsidRDefault="007804D1" w:rsidP="00D07C7C">
            <w:pPr>
              <w:pStyle w:val="ECHRPara"/>
              <w:ind w:firstLine="0"/>
              <w:rPr>
                <w:rFonts w:cstheme="minorHAnsi"/>
                <w:sz w:val="16"/>
                <w:szCs w:val="16"/>
                <w:lang w:val="it-IT"/>
              </w:rPr>
            </w:pPr>
            <w:r w:rsidRPr="00D07C7C">
              <w:rPr>
                <w:rFonts w:cstheme="minorHAnsi"/>
                <w:sz w:val="16"/>
                <w:szCs w:val="16"/>
                <w:lang w:val="it-IT"/>
              </w:rPr>
              <w:t>M</w:t>
            </w:r>
            <w:r w:rsidRPr="00D07C7C">
              <w:rPr>
                <w:rFonts w:cstheme="minorHAnsi"/>
                <w:sz w:val="16"/>
                <w:szCs w:val="16"/>
                <w:vertAlign w:val="superscript"/>
                <w:lang w:val="it-IT"/>
              </w:rPr>
              <w:t>e</w:t>
            </w:r>
            <w:r w:rsidRPr="00D07C7C">
              <w:rPr>
                <w:rFonts w:cstheme="minorHAnsi"/>
                <w:sz w:val="16"/>
                <w:szCs w:val="16"/>
                <w:lang w:val="it-IT"/>
              </w:rPr>
              <w:t xml:space="preserve"> A. MARINI</w:t>
            </w:r>
          </w:p>
          <w:p w:rsidR="007804D1" w:rsidRPr="00D07C7C" w:rsidRDefault="007804D1" w:rsidP="00D07C7C">
            <w:pPr>
              <w:pStyle w:val="ECHRPara"/>
              <w:ind w:firstLine="0"/>
              <w:rPr>
                <w:rFonts w:cstheme="minorHAnsi"/>
                <w:sz w:val="16"/>
                <w:szCs w:val="16"/>
                <w:lang w:val="it-IT"/>
              </w:rPr>
            </w:pPr>
            <w:r w:rsidRPr="00D07C7C">
              <w:rPr>
                <w:rFonts w:cstheme="minorHAnsi"/>
                <w:sz w:val="16"/>
                <w:szCs w:val="16"/>
                <w:lang w:val="it-IT"/>
              </w:rPr>
              <w:t>M</w:t>
            </w:r>
            <w:r w:rsidRPr="00D07C7C">
              <w:rPr>
                <w:rFonts w:cstheme="minorHAnsi"/>
                <w:sz w:val="16"/>
                <w:szCs w:val="16"/>
                <w:vertAlign w:val="superscript"/>
                <w:lang w:val="it-IT"/>
              </w:rPr>
              <w:t>e</w:t>
            </w:r>
            <w:r w:rsidRPr="00D07C7C">
              <w:rPr>
                <w:rFonts w:cstheme="minorHAnsi"/>
                <w:sz w:val="16"/>
                <w:szCs w:val="16"/>
                <w:lang w:val="it-IT"/>
              </w:rPr>
              <w:t xml:space="preserve"> M. MAZZALI</w:t>
            </w:r>
          </w:p>
          <w:p w:rsidR="007804D1" w:rsidRPr="00D07C7C" w:rsidRDefault="007804D1" w:rsidP="00D07C7C">
            <w:pPr>
              <w:pStyle w:val="ECHRPara"/>
              <w:ind w:firstLine="0"/>
              <w:rPr>
                <w:rFonts w:cstheme="minorHAnsi"/>
                <w:sz w:val="16"/>
                <w:szCs w:val="16"/>
                <w:lang w:val="it-IT"/>
              </w:rPr>
            </w:pPr>
          </w:p>
        </w:tc>
        <w:tc>
          <w:tcPr>
            <w:tcW w:w="3969" w:type="dxa"/>
          </w:tcPr>
          <w:p w:rsidR="007804D1" w:rsidRPr="00D07C7C" w:rsidRDefault="007804D1" w:rsidP="00D07C7C">
            <w:pPr>
              <w:pStyle w:val="ECHRPara"/>
              <w:ind w:firstLine="0"/>
              <w:rPr>
                <w:rFonts w:cstheme="minorHAnsi"/>
                <w:b/>
                <w:sz w:val="16"/>
                <w:szCs w:val="16"/>
                <w:lang w:val="it-IT"/>
              </w:rPr>
            </w:pPr>
          </w:p>
          <w:p w:rsidR="007804D1" w:rsidRPr="00D07C7C" w:rsidRDefault="007804D1" w:rsidP="00D07C7C">
            <w:pPr>
              <w:pStyle w:val="ECHRPara"/>
              <w:ind w:firstLine="0"/>
              <w:rPr>
                <w:rFonts w:cstheme="minorHAnsi"/>
                <w:b/>
                <w:sz w:val="16"/>
                <w:szCs w:val="16"/>
                <w:lang w:val="it-IT"/>
              </w:rPr>
            </w:pPr>
            <w:r w:rsidRPr="00D07C7C">
              <w:rPr>
                <w:rFonts w:cstheme="minorHAnsi"/>
                <w:b/>
                <w:sz w:val="16"/>
                <w:szCs w:val="16"/>
                <w:lang w:val="it-IT"/>
              </w:rPr>
              <w:t>Matteo BERTOLA</w:t>
            </w:r>
          </w:p>
          <w:p w:rsidR="007804D1" w:rsidRPr="00D07C7C" w:rsidRDefault="007804D1" w:rsidP="00D07C7C">
            <w:pPr>
              <w:pStyle w:val="ECHRPara"/>
              <w:ind w:firstLine="0"/>
              <w:rPr>
                <w:rFonts w:cstheme="minorHAnsi"/>
                <w:b/>
                <w:sz w:val="16"/>
                <w:szCs w:val="16"/>
                <w:lang w:val="it-IT"/>
              </w:rPr>
            </w:pPr>
          </w:p>
        </w:tc>
        <w:tc>
          <w:tcPr>
            <w:tcW w:w="2268" w:type="dxa"/>
          </w:tcPr>
          <w:p w:rsidR="007804D1" w:rsidRPr="00D07C7C" w:rsidRDefault="007804D1" w:rsidP="00D07C7C">
            <w:pPr>
              <w:pStyle w:val="ECHRPara"/>
              <w:ind w:firstLine="0"/>
              <w:rPr>
                <w:rFonts w:cstheme="minorHAnsi"/>
                <w:b/>
                <w:sz w:val="16"/>
                <w:szCs w:val="16"/>
                <w:lang w:val="it-IT"/>
              </w:rPr>
            </w:pPr>
          </w:p>
          <w:p w:rsidR="007804D1" w:rsidRPr="00D07C7C" w:rsidRDefault="007804D1" w:rsidP="00D07C7C">
            <w:pPr>
              <w:pStyle w:val="ECHRPara"/>
              <w:ind w:firstLine="0"/>
              <w:rPr>
                <w:rFonts w:cstheme="minorHAnsi"/>
                <w:b/>
                <w:sz w:val="16"/>
                <w:szCs w:val="16"/>
                <w:lang w:val="it-IT"/>
              </w:rPr>
            </w:pPr>
            <w:r w:rsidRPr="00D07C7C">
              <w:rPr>
                <w:rFonts w:cstheme="minorHAnsi"/>
                <w:b/>
                <w:sz w:val="16"/>
                <w:szCs w:val="16"/>
                <w:lang w:val="it-IT"/>
              </w:rPr>
              <w:t>2 530 EUR</w:t>
            </w:r>
          </w:p>
        </w:tc>
      </w:tr>
    </w:tbl>
    <w:p w:rsidR="007804D1" w:rsidRPr="00D07C7C" w:rsidRDefault="007804D1" w:rsidP="00D07C7C">
      <w:pPr>
        <w:rPr>
          <w:lang w:val="it-IT"/>
        </w:rPr>
      </w:pPr>
    </w:p>
    <w:p w:rsidR="004D0A74" w:rsidRPr="00D07C7C" w:rsidRDefault="004D0A74" w:rsidP="00D07C7C">
      <w:pPr>
        <w:pStyle w:val="ECHRPara"/>
        <w:rPr>
          <w:lang w:val="fr-FR"/>
        </w:rPr>
      </w:pPr>
    </w:p>
    <w:sectPr w:rsidR="004D0A74" w:rsidRPr="00D07C7C" w:rsidSect="00037752">
      <w:headerReference w:type="even" r:id="rId21"/>
      <w:headerReference w:type="default" r:id="rId22"/>
      <w:footerReference w:type="even" r:id="rId23"/>
      <w:footerReference w:type="default" r:id="rId24"/>
      <w:footnotePr>
        <w:numRestart w:val="eachSect"/>
      </w:footnotePr>
      <w:pgSz w:w="11906" w:h="16838" w:code="9"/>
      <w:pgMar w:top="2274" w:right="1983"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B52" w:rsidRPr="00EC69C0" w:rsidRDefault="005C5B52" w:rsidP="002D2C99">
      <w:pPr>
        <w:rPr>
          <w:lang w:val="fr-FR"/>
        </w:rPr>
      </w:pPr>
      <w:r w:rsidRPr="00EC69C0">
        <w:rPr>
          <w:lang w:val="fr-FR"/>
        </w:rPr>
        <w:separator/>
      </w:r>
    </w:p>
  </w:endnote>
  <w:endnote w:type="continuationSeparator" w:id="0">
    <w:p w:rsidR="005C5B52" w:rsidRPr="00EC69C0" w:rsidRDefault="005C5B52" w:rsidP="002D2C99">
      <w:pPr>
        <w:rPr>
          <w:lang w:val="fr-FR"/>
        </w:rPr>
      </w:pPr>
      <w:r w:rsidRPr="00EC69C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E0" w:rsidRPr="00150BFA" w:rsidRDefault="00BE7CE0" w:rsidP="00847E84">
    <w:pPr>
      <w:jc w:val="center"/>
    </w:pPr>
    <w:r>
      <w:rPr>
        <w:noProof/>
        <w:lang w:val="it-IT" w:eastAsia="it-IT"/>
      </w:rPr>
      <w:drawing>
        <wp:inline distT="0" distB="0" distL="0" distR="0" wp14:anchorId="35BB1C4F" wp14:editId="6639D51E">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E7CE0" w:rsidRPr="00EC69C0" w:rsidRDefault="00BE7CE0" w:rsidP="00847E84">
    <w:pP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E0" w:rsidRPr="00EC69C0" w:rsidRDefault="00BE7CE0" w:rsidP="00847E84">
    <w:pP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E0" w:rsidRDefault="00BE7CE0" w:rsidP="00847E8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E0" w:rsidRDefault="00BE7CE0" w:rsidP="00847E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B52" w:rsidRPr="00EC69C0" w:rsidRDefault="005C5B52" w:rsidP="002D2C99">
      <w:pPr>
        <w:rPr>
          <w:lang w:val="fr-FR"/>
        </w:rPr>
      </w:pPr>
      <w:r w:rsidRPr="00EC69C0">
        <w:rPr>
          <w:lang w:val="fr-FR"/>
        </w:rPr>
        <w:separator/>
      </w:r>
    </w:p>
  </w:footnote>
  <w:footnote w:type="continuationSeparator" w:id="0">
    <w:p w:rsidR="005C5B52" w:rsidRPr="00EC69C0" w:rsidRDefault="005C5B52" w:rsidP="002D2C99">
      <w:pPr>
        <w:rPr>
          <w:lang w:val="fr-FR"/>
        </w:rPr>
      </w:pPr>
      <w:r w:rsidRPr="00EC69C0">
        <w:rPr>
          <w:lang w:val="fr-FR"/>
        </w:rPr>
        <w:continuationSeparator/>
      </w:r>
    </w:p>
  </w:footnote>
  <w:footnote w:id="1">
    <w:p w:rsidR="00BE7CE0" w:rsidRPr="007077C1" w:rsidRDefault="00BE7CE0" w:rsidP="00B35F5E">
      <w:pPr>
        <w:pStyle w:val="ECHRPara"/>
        <w:ind w:firstLine="0"/>
        <w:rPr>
          <w:i/>
          <w:lang w:val="fr-FR"/>
        </w:rPr>
      </w:pPr>
      <w:r w:rsidRPr="007804D1">
        <w:rPr>
          <w:rStyle w:val="Rimandonotaapidipagina"/>
          <w:sz w:val="18"/>
          <w:szCs w:val="18"/>
          <w:vertAlign w:val="baseline"/>
          <w:lang w:val="fr-FR"/>
        </w:rPr>
        <w:t>1</w:t>
      </w:r>
      <w:r w:rsidRPr="00291873">
        <w:rPr>
          <w:sz w:val="18"/>
          <w:szCs w:val="18"/>
          <w:lang w:val="fr-FR"/>
        </w:rPr>
        <w:t>.  </w:t>
      </w:r>
      <w:r w:rsidRPr="003268D3">
        <w:rPr>
          <w:sz w:val="18"/>
          <w:szCs w:val="18"/>
          <w:lang w:val="fr-FR"/>
        </w:rPr>
        <w:t xml:space="preserve">Arrêt </w:t>
      </w:r>
      <w:r w:rsidRPr="003268D3">
        <w:rPr>
          <w:rStyle w:val="JuQuotChar"/>
          <w:i/>
          <w:sz w:val="18"/>
          <w:szCs w:val="18"/>
          <w:lang w:val="fr-FR"/>
        </w:rPr>
        <w:t>Giuliani et Gaggio c. Italie</w:t>
      </w:r>
      <w:r w:rsidRPr="003268D3">
        <w:rPr>
          <w:rStyle w:val="JuQuotChar"/>
          <w:sz w:val="18"/>
          <w:szCs w:val="18"/>
          <w:lang w:val="fr-FR"/>
        </w:rPr>
        <w:t xml:space="preserve"> [GC], n</w:t>
      </w:r>
      <w:r w:rsidRPr="003268D3">
        <w:rPr>
          <w:rStyle w:val="JuQuotChar"/>
          <w:sz w:val="18"/>
          <w:szCs w:val="18"/>
          <w:vertAlign w:val="superscript"/>
          <w:lang w:val="fr-FR"/>
        </w:rPr>
        <w:t>o</w:t>
      </w:r>
      <w:r w:rsidRPr="003268D3">
        <w:rPr>
          <w:rStyle w:val="JuQuotChar"/>
          <w:sz w:val="18"/>
          <w:szCs w:val="18"/>
          <w:lang w:val="fr-FR"/>
        </w:rPr>
        <w:t xml:space="preserve"> 23458/02, CEDH 2011</w:t>
      </w:r>
      <w:r>
        <w:rPr>
          <w:rStyle w:val="JuQuotChar"/>
          <w:sz w:val="18"/>
          <w:szCs w:val="18"/>
          <w:lang w:val="fr-FR"/>
        </w:rPr>
        <w:t> ;</w:t>
      </w:r>
      <w:r w:rsidRPr="003268D3">
        <w:rPr>
          <w:rStyle w:val="JuQuotChar"/>
          <w:sz w:val="18"/>
          <w:szCs w:val="18"/>
          <w:lang w:val="fr-FR"/>
        </w:rPr>
        <w:t xml:space="preserve"> </w:t>
      </w:r>
      <w:r>
        <w:rPr>
          <w:rStyle w:val="JuQuotChar"/>
          <w:sz w:val="18"/>
          <w:szCs w:val="18"/>
          <w:lang w:val="fr-FR"/>
        </w:rPr>
        <w:t xml:space="preserve">arrêt </w:t>
      </w:r>
      <w:r w:rsidRPr="007077C1">
        <w:rPr>
          <w:i/>
          <w:sz w:val="18"/>
          <w:szCs w:val="18"/>
          <w:lang w:val="fr-FR"/>
        </w:rPr>
        <w:t>Cestaro c. Italie</w:t>
      </w:r>
      <w:r w:rsidRPr="007077C1">
        <w:rPr>
          <w:snapToGrid w:val="0"/>
          <w:sz w:val="18"/>
          <w:szCs w:val="18"/>
          <w:lang w:val="fr-FR"/>
        </w:rPr>
        <w:t xml:space="preserve">, </w:t>
      </w:r>
      <w:r w:rsidRPr="007077C1">
        <w:rPr>
          <w:sz w:val="18"/>
          <w:szCs w:val="18"/>
          <w:lang w:val="fr-FR"/>
        </w:rPr>
        <w:t>n</w:t>
      </w:r>
      <w:r w:rsidRPr="007077C1">
        <w:rPr>
          <w:sz w:val="18"/>
          <w:szCs w:val="18"/>
          <w:vertAlign w:val="superscript"/>
          <w:lang w:val="fr-FR"/>
        </w:rPr>
        <w:t>o</w:t>
      </w:r>
      <w:r>
        <w:rPr>
          <w:sz w:val="18"/>
          <w:szCs w:val="18"/>
          <w:lang w:val="fr-FR"/>
        </w:rPr>
        <w:t> </w:t>
      </w:r>
      <w:r w:rsidRPr="007077C1">
        <w:rPr>
          <w:sz w:val="18"/>
          <w:szCs w:val="18"/>
          <w:lang w:val="fr-FR"/>
        </w:rPr>
        <w:t>6884/11</w:t>
      </w:r>
      <w:r>
        <w:rPr>
          <w:snapToGrid w:val="0"/>
          <w:sz w:val="18"/>
          <w:szCs w:val="18"/>
          <w:lang w:val="fr-FR"/>
        </w:rPr>
        <w:t xml:space="preserve">, </w:t>
      </w:r>
      <w:r w:rsidRPr="007077C1">
        <w:rPr>
          <w:snapToGrid w:val="0"/>
          <w:sz w:val="18"/>
          <w:szCs w:val="18"/>
          <w:lang w:val="fr-FR"/>
        </w:rPr>
        <w:t xml:space="preserve">7 </w:t>
      </w:r>
      <w:r w:rsidRPr="007077C1">
        <w:rPr>
          <w:sz w:val="18"/>
          <w:szCs w:val="18"/>
          <w:lang w:val="fr-FR"/>
        </w:rPr>
        <w:t>avril</w:t>
      </w:r>
      <w:r w:rsidRPr="007077C1">
        <w:rPr>
          <w:snapToGrid w:val="0"/>
          <w:sz w:val="18"/>
          <w:szCs w:val="18"/>
          <w:lang w:val="fr-FR"/>
        </w:rPr>
        <w:t xml:space="preserve"> 2015</w:t>
      </w:r>
      <w:r>
        <w:rPr>
          <w:snapToGrid w:val="0"/>
          <w:sz w:val="18"/>
          <w:szCs w:val="18"/>
          <w:lang w:val="fr-FR"/>
        </w:rPr>
        <w:t xml:space="preserve"> ; voir également </w:t>
      </w:r>
      <w:r w:rsidRPr="00761FE2">
        <w:rPr>
          <w:snapToGrid w:val="0"/>
          <w:sz w:val="18"/>
          <w:szCs w:val="18"/>
          <w:lang w:val="fr-FR"/>
        </w:rPr>
        <w:t>« </w:t>
      </w:r>
      <w:r w:rsidRPr="00291873">
        <w:rPr>
          <w:rStyle w:val="JuQuotChar"/>
          <w:sz w:val="18"/>
          <w:szCs w:val="18"/>
          <w:lang w:val="fr-FR"/>
        </w:rPr>
        <w:t>Rapport final de l’enquête parlementaire d’information sur les faits survenus lors du G8 de Gênes</w:t>
      </w:r>
      <w:r w:rsidRPr="00761FE2">
        <w:rPr>
          <w:rStyle w:val="JuQuotChar"/>
          <w:sz w:val="18"/>
          <w:szCs w:val="18"/>
          <w:lang w:val="fr-FR"/>
        </w:rPr>
        <w:t> » du 20 septembre 2001 ; jugement n</w:t>
      </w:r>
      <w:r w:rsidRPr="00761FE2">
        <w:rPr>
          <w:rStyle w:val="JuQuotChar"/>
          <w:sz w:val="18"/>
          <w:szCs w:val="18"/>
          <w:vertAlign w:val="superscript"/>
          <w:lang w:val="fr-FR"/>
        </w:rPr>
        <w:t>o</w:t>
      </w:r>
      <w:r w:rsidRPr="00761FE2">
        <w:rPr>
          <w:rStyle w:val="JuQuotChar"/>
          <w:sz w:val="18"/>
          <w:szCs w:val="18"/>
          <w:lang w:val="fr-FR"/>
        </w:rPr>
        <w:t xml:space="preserve"> 4252/08 du tribunal de Gênes,</w:t>
      </w:r>
      <w:r w:rsidRPr="003268D3">
        <w:rPr>
          <w:rStyle w:val="JuQuotChar"/>
          <w:sz w:val="18"/>
          <w:szCs w:val="18"/>
          <w:lang w:val="fr-FR"/>
        </w:rPr>
        <w:t xml:space="preserve"> rendu le 13 novembre 2008 et déposé le 11 février 2009</w:t>
      </w:r>
      <w:r>
        <w:rPr>
          <w:rStyle w:val="JuQuotChar"/>
          <w:sz w:val="18"/>
          <w:szCs w:val="18"/>
          <w:lang w:val="fr-FR"/>
        </w:rPr>
        <w:t> ;</w:t>
      </w:r>
      <w:r w:rsidRPr="003268D3">
        <w:rPr>
          <w:rStyle w:val="JuQuotChar"/>
          <w:sz w:val="18"/>
          <w:szCs w:val="18"/>
          <w:lang w:val="fr-FR"/>
        </w:rPr>
        <w:t xml:space="preserve"> arrêt n</w:t>
      </w:r>
      <w:r w:rsidRPr="003268D3">
        <w:rPr>
          <w:rStyle w:val="JuQuotChar"/>
          <w:sz w:val="18"/>
          <w:szCs w:val="18"/>
          <w:vertAlign w:val="superscript"/>
          <w:lang w:val="fr-FR"/>
        </w:rPr>
        <w:t>o</w:t>
      </w:r>
      <w:r w:rsidRPr="003268D3">
        <w:rPr>
          <w:rStyle w:val="JuQuotChar"/>
          <w:sz w:val="18"/>
          <w:szCs w:val="18"/>
          <w:lang w:val="fr-FR"/>
        </w:rPr>
        <w:t xml:space="preserve"> 1530/10 de la cour d’appel de Gênes, rendu le 18 mai 2010 et déposé le 31 juillet 2010</w:t>
      </w:r>
      <w:r>
        <w:rPr>
          <w:rStyle w:val="JuQuotChar"/>
          <w:sz w:val="18"/>
          <w:szCs w:val="18"/>
          <w:lang w:val="fr-FR"/>
        </w:rPr>
        <w:t xml:space="preserve">, ; </w:t>
      </w:r>
      <w:r w:rsidRPr="003268D3">
        <w:rPr>
          <w:rStyle w:val="JuQuotChar"/>
          <w:sz w:val="18"/>
          <w:szCs w:val="18"/>
          <w:lang w:val="fr-FR"/>
        </w:rPr>
        <w:t>arrêt n</w:t>
      </w:r>
      <w:r w:rsidRPr="003268D3">
        <w:rPr>
          <w:rStyle w:val="JuQuotChar"/>
          <w:sz w:val="18"/>
          <w:szCs w:val="18"/>
          <w:vertAlign w:val="superscript"/>
          <w:lang w:val="fr-FR"/>
        </w:rPr>
        <w:t>o</w:t>
      </w:r>
      <w:r w:rsidRPr="003268D3">
        <w:rPr>
          <w:rStyle w:val="JuQuotChar"/>
          <w:sz w:val="18"/>
          <w:szCs w:val="18"/>
          <w:lang w:val="fr-FR"/>
        </w:rPr>
        <w:t> </w:t>
      </w:r>
      <w:r w:rsidRPr="003268D3">
        <w:rPr>
          <w:sz w:val="18"/>
          <w:szCs w:val="18"/>
          <w:lang w:val="fr-FR"/>
        </w:rPr>
        <w:t>38085/12 de la Cour de cassation, rendu le 5 juillet 2012 et déposé le 2 octobre 2012</w:t>
      </w:r>
      <w:r>
        <w:rPr>
          <w:sz w:val="18"/>
          <w:szCs w:val="18"/>
          <w:lang w:val="fr-FR"/>
        </w:rPr>
        <w:t>.</w:t>
      </w:r>
    </w:p>
  </w:footnote>
  <w:footnote w:id="2">
    <w:p w:rsidR="00BE7CE0" w:rsidRPr="001B24FE" w:rsidRDefault="00BE7CE0" w:rsidP="007804D1">
      <w:pPr>
        <w:pStyle w:val="Testonotaapidipagina"/>
        <w:rPr>
          <w:lang w:val="fr-FR"/>
        </w:rPr>
      </w:pPr>
      <w:r>
        <w:rPr>
          <w:rStyle w:val="Rimandonotaapidipagina"/>
        </w:rPr>
        <w:footnoteRef/>
      </w:r>
      <w:r w:rsidRPr="001B24FE">
        <w:rPr>
          <w:lang w:val="fr-FR"/>
        </w:rPr>
        <w:t xml:space="preserve"> </w:t>
      </w:r>
      <w:r>
        <w:rPr>
          <w:lang w:val="fr-FR"/>
        </w:rPr>
        <w:t xml:space="preserve">Certains requérants ont accepté la proposition de règlement amiable ou se sont désistés en renonçant à toute prétention relative aux frais et dépens engagés (paragraphe </w:t>
      </w:r>
      <w:r>
        <w:rPr>
          <w:lang w:val="fr-FR"/>
        </w:rPr>
        <w:fldChar w:fldCharType="begin"/>
      </w:r>
      <w:r>
        <w:rPr>
          <w:lang w:val="fr-FR"/>
        </w:rPr>
        <w:instrText xml:space="preserve"> REF EXCLUSION_FRAIS_DEPENS \h </w:instrText>
      </w:r>
      <w:r>
        <w:rPr>
          <w:lang w:val="fr-FR"/>
        </w:rPr>
      </w:r>
      <w:r>
        <w:rPr>
          <w:lang w:val="fr-FR"/>
        </w:rPr>
        <w:fldChar w:fldCharType="separate"/>
      </w:r>
      <w:r>
        <w:rPr>
          <w:noProof/>
          <w:lang w:val="fr-FR"/>
        </w:rPr>
        <w:t>131</w:t>
      </w:r>
      <w:r>
        <w:rPr>
          <w:lang w:val="fr-FR"/>
        </w:rPr>
        <w:fldChar w:fldCharType="end"/>
      </w:r>
      <w:r>
        <w:rPr>
          <w:lang w:val="fr-FR"/>
        </w:rPr>
        <w:t xml:space="preserve"> ci-dessus).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E0" w:rsidRPr="00A45145" w:rsidRDefault="00BE7CE0" w:rsidP="00847E84">
    <w:pPr>
      <w:jc w:val="center"/>
    </w:pPr>
    <w:r>
      <w:rPr>
        <w:noProof/>
        <w:lang w:val="it-IT" w:eastAsia="it-IT"/>
      </w:rPr>
      <w:drawing>
        <wp:inline distT="0" distB="0" distL="0" distR="0" wp14:anchorId="6D172064" wp14:editId="2B429E2E">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E7CE0" w:rsidRPr="00EC69C0" w:rsidRDefault="00BE7CE0" w:rsidP="00F5432B">
    <w:pPr>
      <w:jc w:val="center"/>
      <w:rPr>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E0" w:rsidRPr="003873ED" w:rsidRDefault="00BE7CE0" w:rsidP="00037752">
    <w:pPr>
      <w:pStyle w:val="ECHRHeader"/>
      <w:tabs>
        <w:tab w:val="clear" w:pos="7371"/>
        <w:tab w:val="right" w:pos="7513"/>
        <w:tab w:val="right" w:pos="10490"/>
      </w:tabs>
      <w:ind w:right="-1983"/>
      <w:rPr>
        <w:lang w:val="fr-FR"/>
      </w:rPr>
    </w:pPr>
    <w:r>
      <w:rPr>
        <w:noProof/>
        <w:lang w:val="fr-FR"/>
      </w:rPr>
      <w:tab/>
    </w:r>
    <w:r w:rsidRPr="003873ED">
      <w:rPr>
        <w:noProof/>
        <w:lang w:val="fr-FR"/>
      </w:rPr>
      <w:t>A</w:t>
    </w:r>
    <w:r>
      <w:rPr>
        <w:noProof/>
        <w:lang w:val="fr-FR"/>
      </w:rPr>
      <w:t>RR</w:t>
    </w:r>
    <w:r>
      <w:rPr>
        <w:rFonts w:cstheme="minorHAnsi"/>
        <w:noProof/>
        <w:lang w:val="fr-FR"/>
      </w:rPr>
      <w:t>Ê</w:t>
    </w:r>
    <w:r>
      <w:rPr>
        <w:noProof/>
        <w:lang w:val="fr-FR"/>
      </w:rPr>
      <w:t>T</w:t>
    </w:r>
    <w:r w:rsidRPr="003873ED">
      <w:rPr>
        <w:lang w:val="fr-FR"/>
      </w:rPr>
      <w:t xml:space="preserve"> BARTESAGHI GALLO ET AU</w:t>
    </w:r>
    <w:r>
      <w:rPr>
        <w:lang w:val="fr-FR"/>
      </w:rPr>
      <w:t xml:space="preserve">TRES c. </w:t>
    </w:r>
    <w:r w:rsidRPr="003873ED">
      <w:rPr>
        <w:lang w:val="fr-FR"/>
      </w:rPr>
      <w:t>ITALIE</w:t>
    </w:r>
    <w:r>
      <w:rPr>
        <w:lang w:val="fr-FR"/>
      </w:rPr>
      <w:tab/>
    </w:r>
    <w:r>
      <w:rPr>
        <w:rStyle w:val="Numeropagina"/>
        <w:lang w:val="en-GB"/>
      </w:rPr>
      <w:fldChar w:fldCharType="begin"/>
    </w:r>
    <w:r w:rsidRPr="003873ED">
      <w:rPr>
        <w:rStyle w:val="Numeropagina"/>
        <w:lang w:val="fr-FR"/>
      </w:rPr>
      <w:instrText xml:space="preserve"> PAGE </w:instrText>
    </w:r>
    <w:r>
      <w:rPr>
        <w:rStyle w:val="Numeropagina"/>
        <w:lang w:val="en-GB"/>
      </w:rPr>
      <w:fldChar w:fldCharType="separate"/>
    </w:r>
    <w:r w:rsidR="003D7897">
      <w:rPr>
        <w:rStyle w:val="Numeropagina"/>
        <w:noProof/>
        <w:lang w:val="fr-FR"/>
      </w:rPr>
      <w:t>29</w:t>
    </w:r>
    <w:r>
      <w:rPr>
        <w:rStyle w:val="Numeropagina"/>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E0" w:rsidRPr="000D0CA2" w:rsidRDefault="00BE7CE0" w:rsidP="00837D52">
    <w:pPr>
      <w:pStyle w:val="ECHRHeader"/>
      <w:jc w:val="center"/>
      <w:rPr>
        <w:lang w:val="en-GB"/>
      </w:rPr>
    </w:pPr>
    <w:r>
      <w:rPr>
        <w:noProof/>
        <w:lang w:val="it-IT" w:eastAsia="it-IT"/>
      </w:rPr>
      <w:drawing>
        <wp:inline distT="0" distB="0" distL="0" distR="0" wp14:anchorId="53B1D89B" wp14:editId="68CFA40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E7CE0" w:rsidRPr="00DE2B70" w:rsidRDefault="00BE7CE0" w:rsidP="00DE2B70">
    <w:pPr>
      <w:pStyle w:val="Intestazion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E0" w:rsidRPr="003873ED" w:rsidRDefault="00BE7CE0" w:rsidP="004D0A74">
    <w:pPr>
      <w:pStyle w:val="ECHRHeader"/>
      <w:tabs>
        <w:tab w:val="clear" w:pos="3686"/>
        <w:tab w:val="center" w:pos="3969"/>
      </w:tabs>
      <w:jc w:val="both"/>
      <w:rPr>
        <w:lang w:val="fr-FR"/>
      </w:rPr>
    </w:pPr>
    <w:r>
      <w:rPr>
        <w:rStyle w:val="Numeropagina"/>
      </w:rPr>
      <w:fldChar w:fldCharType="begin"/>
    </w:r>
    <w:r w:rsidRPr="003873ED">
      <w:rPr>
        <w:rStyle w:val="Numeropagina"/>
        <w:lang w:val="fr-FR"/>
      </w:rPr>
      <w:instrText xml:space="preserve"> PAGE </w:instrText>
    </w:r>
    <w:r>
      <w:rPr>
        <w:rStyle w:val="Numeropagina"/>
      </w:rPr>
      <w:fldChar w:fldCharType="separate"/>
    </w:r>
    <w:r w:rsidR="003D7897">
      <w:rPr>
        <w:rStyle w:val="Numeropagina"/>
        <w:noProof/>
        <w:lang w:val="fr-FR"/>
      </w:rPr>
      <w:t>22</w:t>
    </w:r>
    <w:r>
      <w:rPr>
        <w:rStyle w:val="Numeropagina"/>
      </w:rPr>
      <w:fldChar w:fldCharType="end"/>
    </w:r>
    <w:r>
      <w:rPr>
        <w:rStyle w:val="Numeropagina"/>
        <w:lang w:val="fr-FR"/>
      </w:rPr>
      <w:tab/>
    </w:r>
    <w:r w:rsidRPr="003873ED">
      <w:rPr>
        <w:noProof/>
        <w:lang w:val="fr-FR"/>
      </w:rPr>
      <w:t>A</w:t>
    </w:r>
    <w:r>
      <w:rPr>
        <w:noProof/>
        <w:lang w:val="fr-FR"/>
      </w:rPr>
      <w:t>RR</w:t>
    </w:r>
    <w:r>
      <w:rPr>
        <w:rFonts w:cstheme="minorHAnsi"/>
        <w:noProof/>
        <w:lang w:val="fr-FR"/>
      </w:rPr>
      <w:t>Ê</w:t>
    </w:r>
    <w:r>
      <w:rPr>
        <w:noProof/>
        <w:lang w:val="fr-FR"/>
      </w:rPr>
      <w:t>T</w:t>
    </w:r>
    <w:r w:rsidRPr="003873ED">
      <w:rPr>
        <w:lang w:val="fr-FR"/>
      </w:rPr>
      <w:t xml:space="preserve"> BARTESAGHI GALLO ET AUTRES c. </w:t>
    </w:r>
    <w:r>
      <w:rPr>
        <w:lang w:val="fr-FR"/>
      </w:rPr>
      <w:t>ITALIE</w:t>
    </w:r>
    <w:r>
      <w:rPr>
        <w:lang w:val="fr-FR"/>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E0" w:rsidRPr="003873ED" w:rsidRDefault="00BE7CE0" w:rsidP="00026755">
    <w:pPr>
      <w:pStyle w:val="ECHRHeader"/>
      <w:tabs>
        <w:tab w:val="clear" w:pos="3686"/>
        <w:tab w:val="clear" w:pos="7371"/>
        <w:tab w:val="center" w:pos="3969"/>
        <w:tab w:val="right" w:pos="8080"/>
      </w:tabs>
      <w:jc w:val="right"/>
      <w:rPr>
        <w:lang w:val="fr-FR"/>
      </w:rPr>
    </w:pPr>
    <w:r>
      <w:rPr>
        <w:noProof/>
        <w:lang w:val="fr-FR"/>
      </w:rPr>
      <w:tab/>
    </w:r>
    <w:r w:rsidRPr="003873ED">
      <w:rPr>
        <w:noProof/>
        <w:lang w:val="fr-FR"/>
      </w:rPr>
      <w:t>A</w:t>
    </w:r>
    <w:r>
      <w:rPr>
        <w:noProof/>
        <w:lang w:val="fr-FR"/>
      </w:rPr>
      <w:t>RR</w:t>
    </w:r>
    <w:r>
      <w:rPr>
        <w:rFonts w:cstheme="minorHAnsi"/>
        <w:noProof/>
        <w:lang w:val="fr-FR"/>
      </w:rPr>
      <w:t>Ê</w:t>
    </w:r>
    <w:r>
      <w:rPr>
        <w:noProof/>
        <w:lang w:val="fr-FR"/>
      </w:rPr>
      <w:t>T</w:t>
    </w:r>
    <w:r w:rsidRPr="003873ED">
      <w:rPr>
        <w:lang w:val="fr-FR"/>
      </w:rPr>
      <w:t xml:space="preserve"> BARTESAGHI GALLO ET AUTRES c. </w:t>
    </w:r>
    <w:r>
      <w:rPr>
        <w:lang w:val="fr-FR"/>
      </w:rPr>
      <w:t>Italie</w:t>
    </w:r>
    <w:r>
      <w:rPr>
        <w:lang w:val="fr-FR"/>
      </w:rPr>
      <w:tab/>
    </w:r>
    <w:r>
      <w:rPr>
        <w:rStyle w:val="Numeropagina"/>
        <w:lang w:val="en-GB"/>
      </w:rPr>
      <w:fldChar w:fldCharType="begin"/>
    </w:r>
    <w:r w:rsidRPr="003873ED">
      <w:rPr>
        <w:rStyle w:val="Numeropagina"/>
        <w:lang w:val="fr-FR"/>
      </w:rPr>
      <w:instrText xml:space="preserve"> PAGE </w:instrText>
    </w:r>
    <w:r>
      <w:rPr>
        <w:rStyle w:val="Numeropagina"/>
        <w:lang w:val="en-GB"/>
      </w:rPr>
      <w:fldChar w:fldCharType="separate"/>
    </w:r>
    <w:r w:rsidR="003D7897">
      <w:rPr>
        <w:rStyle w:val="Numeropagina"/>
        <w:noProof/>
        <w:lang w:val="fr-FR"/>
      </w:rPr>
      <w:t>23</w:t>
    </w:r>
    <w:r>
      <w:rPr>
        <w:rStyle w:val="Numeropagina"/>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444678"/>
      <w:docPartObj>
        <w:docPartGallery w:val="Page Numbers (Top of Page)"/>
        <w:docPartUnique/>
      </w:docPartObj>
    </w:sdtPr>
    <w:sdtEndPr>
      <w:rPr>
        <w:lang w:val="fr-FR"/>
      </w:rPr>
    </w:sdtEndPr>
    <w:sdtContent>
      <w:p w:rsidR="00BE7CE0" w:rsidRPr="00837D52" w:rsidRDefault="00BE7CE0" w:rsidP="00837D52">
        <w:pPr>
          <w:pStyle w:val="ECHRHeader"/>
          <w:rPr>
            <w:lang w:val="fr-FR"/>
          </w:rPr>
        </w:pPr>
        <w:r>
          <w:rPr>
            <w:rStyle w:val="Numeropagina"/>
            <w:lang w:val="fr-FR"/>
          </w:rPr>
          <w:tab/>
        </w:r>
        <w:r w:rsidRPr="003873ED">
          <w:rPr>
            <w:noProof/>
            <w:lang w:val="fr-FR"/>
          </w:rPr>
          <w:t>A</w:t>
        </w:r>
        <w:r>
          <w:rPr>
            <w:noProof/>
            <w:lang w:val="fr-FR"/>
          </w:rPr>
          <w:t>RR</w:t>
        </w:r>
        <w:r>
          <w:rPr>
            <w:rFonts w:cstheme="minorHAnsi"/>
            <w:noProof/>
            <w:lang w:val="fr-FR"/>
          </w:rPr>
          <w:t>Ê</w:t>
        </w:r>
        <w:r>
          <w:rPr>
            <w:noProof/>
            <w:lang w:val="fr-FR"/>
          </w:rPr>
          <w:t>T</w:t>
        </w:r>
        <w:r w:rsidRPr="003873ED">
          <w:rPr>
            <w:lang w:val="fr-FR"/>
          </w:rPr>
          <w:t xml:space="preserve"> BARTESAGHI GALLO ET AUTRES c. ITALIE</w:t>
        </w:r>
        <w:r w:rsidRPr="00837D52">
          <w:rPr>
            <w:lang w:val="fr-FR"/>
          </w:rPr>
          <w:tab/>
        </w:r>
        <w:r>
          <w:rPr>
            <w:lang w:val="fr-FR"/>
          </w:rPr>
          <w:fldChar w:fldCharType="begin"/>
        </w:r>
        <w:r w:rsidRPr="00837D52">
          <w:rPr>
            <w:lang w:val="fr-FR"/>
          </w:rPr>
          <w:instrText xml:space="preserve"> PAGE </w:instrText>
        </w:r>
        <w:r>
          <w:rPr>
            <w:lang w:val="fr-FR"/>
          </w:rPr>
          <w:fldChar w:fldCharType="separate"/>
        </w:r>
        <w:r w:rsidR="003D7897">
          <w:rPr>
            <w:noProof/>
            <w:lang w:val="fr-FR"/>
          </w:rPr>
          <w:t>1</w:t>
        </w:r>
        <w:r>
          <w:rPr>
            <w:lang w:val="fr-FR"/>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E0" w:rsidRPr="003873ED" w:rsidRDefault="00BE7CE0" w:rsidP="00BE7CE0">
    <w:pPr>
      <w:pStyle w:val="ECHRHeader"/>
      <w:tabs>
        <w:tab w:val="clear" w:pos="3686"/>
        <w:tab w:val="center" w:pos="3969"/>
      </w:tabs>
      <w:jc w:val="center"/>
      <w:rPr>
        <w:lang w:val="fr-FR"/>
      </w:rPr>
    </w:pPr>
    <w:r>
      <w:rPr>
        <w:rStyle w:val="Numeropagina"/>
      </w:rPr>
      <w:fldChar w:fldCharType="begin"/>
    </w:r>
    <w:r w:rsidRPr="003873ED">
      <w:rPr>
        <w:rStyle w:val="Numeropagina"/>
        <w:lang w:val="fr-FR"/>
      </w:rPr>
      <w:instrText xml:space="preserve"> PAGE </w:instrText>
    </w:r>
    <w:r>
      <w:rPr>
        <w:rStyle w:val="Numeropagina"/>
      </w:rPr>
      <w:fldChar w:fldCharType="separate"/>
    </w:r>
    <w:r w:rsidR="003D7897">
      <w:rPr>
        <w:rStyle w:val="Numeropagina"/>
        <w:noProof/>
        <w:lang w:val="fr-FR"/>
      </w:rPr>
      <w:t>28</w:t>
    </w:r>
    <w:r>
      <w:rPr>
        <w:rStyle w:val="Numeropagina"/>
      </w:rPr>
      <w:fldChar w:fldCharType="end"/>
    </w:r>
    <w:r>
      <w:rPr>
        <w:rStyle w:val="Numeropagina"/>
        <w:lang w:val="fr-FR"/>
      </w:rPr>
      <w:tab/>
    </w:r>
    <w:r w:rsidRPr="003873ED">
      <w:rPr>
        <w:noProof/>
        <w:lang w:val="fr-FR"/>
      </w:rPr>
      <w:t>PA</w:t>
    </w:r>
    <w:r w:rsidRPr="003873ED">
      <w:rPr>
        <w:lang w:val="fr-FR"/>
      </w:rPr>
      <w:t xml:space="preserve"> – BARTESAGHI GALLO ET AUTRES c. ITALIE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E0" w:rsidRPr="003873ED" w:rsidRDefault="00BE7CE0" w:rsidP="00BE7CE0">
    <w:pPr>
      <w:pStyle w:val="ECHRHeader"/>
      <w:tabs>
        <w:tab w:val="clear" w:pos="3686"/>
        <w:tab w:val="clear" w:pos="7371"/>
        <w:tab w:val="center" w:pos="5387"/>
        <w:tab w:val="right" w:pos="9639"/>
      </w:tabs>
      <w:jc w:val="center"/>
      <w:rPr>
        <w:lang w:val="fr-FR"/>
      </w:rPr>
    </w:pPr>
    <w:r>
      <w:rPr>
        <w:noProof/>
        <w:lang w:val="fr-FR"/>
      </w:rPr>
      <w:tab/>
    </w:r>
    <w:r w:rsidRPr="003873ED">
      <w:rPr>
        <w:noProof/>
        <w:lang w:val="fr-FR"/>
      </w:rPr>
      <w:t>PA</w:t>
    </w:r>
    <w:r w:rsidRPr="003873ED">
      <w:rPr>
        <w:lang w:val="fr-FR"/>
      </w:rPr>
      <w:t xml:space="preserve"> – BARTESAGHI GALLO ET AUTRES c. </w:t>
    </w:r>
    <w:r>
      <w:rPr>
        <w:lang w:val="fr-FR"/>
      </w:rPr>
      <w:t>Italie</w:t>
    </w:r>
    <w:r>
      <w:rPr>
        <w:lang w:val="fr-FR"/>
      </w:rPr>
      <w:tab/>
    </w:r>
    <w:r>
      <w:rPr>
        <w:rStyle w:val="Numeropagina"/>
        <w:lang w:val="en-GB"/>
      </w:rPr>
      <w:fldChar w:fldCharType="begin"/>
    </w:r>
    <w:r w:rsidRPr="003873ED">
      <w:rPr>
        <w:rStyle w:val="Numeropagina"/>
        <w:lang w:val="fr-FR"/>
      </w:rPr>
      <w:instrText xml:space="preserve"> PAGE </w:instrText>
    </w:r>
    <w:r>
      <w:rPr>
        <w:rStyle w:val="Numeropagina"/>
        <w:lang w:val="en-GB"/>
      </w:rPr>
      <w:fldChar w:fldCharType="separate"/>
    </w:r>
    <w:r w:rsidR="003D7897">
      <w:rPr>
        <w:rStyle w:val="Numeropagina"/>
        <w:noProof/>
        <w:lang w:val="fr-FR"/>
      </w:rPr>
      <w:t>27</w:t>
    </w:r>
    <w:r>
      <w:rPr>
        <w:rStyle w:val="Numeropagina"/>
        <w:lang w:val="en-GB"/>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E0" w:rsidRDefault="00BE7CE0">
    <w:pPr>
      <w:pStyle w:val="Intestazio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E0" w:rsidRPr="00F5432B" w:rsidRDefault="00BE7CE0" w:rsidP="00F5432B">
    <w:pPr>
      <w:pStyle w:val="ECHRHeader"/>
      <w:rPr>
        <w:lang w:val="fr-FR"/>
      </w:rPr>
    </w:pPr>
    <w:r>
      <w:rPr>
        <w:rStyle w:val="Numeropagina"/>
      </w:rPr>
      <w:fldChar w:fldCharType="begin"/>
    </w:r>
    <w:r w:rsidRPr="00847E84">
      <w:rPr>
        <w:rStyle w:val="Numeropagina"/>
        <w:lang w:val="fr-FR"/>
      </w:rPr>
      <w:instrText xml:space="preserve"> PAGE </w:instrText>
    </w:r>
    <w:r>
      <w:rPr>
        <w:rStyle w:val="Numeropagina"/>
      </w:rPr>
      <w:fldChar w:fldCharType="separate"/>
    </w:r>
    <w:r w:rsidR="003D7897">
      <w:rPr>
        <w:rStyle w:val="Numeropagina"/>
        <w:noProof/>
        <w:lang w:val="fr-FR"/>
      </w:rPr>
      <w:t>30</w:t>
    </w:r>
    <w:r>
      <w:rPr>
        <w:rStyle w:val="Numeropagina"/>
      </w:rPr>
      <w:fldChar w:fldCharType="end"/>
    </w:r>
    <w:r w:rsidRPr="00847E84">
      <w:rPr>
        <w:lang w:val="fr-FR"/>
      </w:rPr>
      <w:tab/>
      <w:t xml:space="preserve">ARRÊT BARTESAGHI GALLO ET AUTRES c. ITALIE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08B0C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3CF25AF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B02EDC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1E60D70"/>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D2AA4F5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99E2214A"/>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0DDCF244"/>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1804BE7E"/>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02A8490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88CC5F4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7FD1F65"/>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7363396"/>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F4B36E4"/>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3">
    <w:nsid w:val="256A1A91"/>
    <w:multiLevelType w:val="hybridMultilevel"/>
    <w:tmpl w:val="B52C07F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B5D48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9C0D36"/>
    <w:multiLevelType w:val="hybridMultilevel"/>
    <w:tmpl w:val="131EB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9123D"/>
    <w:multiLevelType w:val="hybridMultilevel"/>
    <w:tmpl w:val="DDAE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5D0D8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ADE21AA"/>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0201130"/>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1">
    <w:nsid w:val="5B4233A6"/>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FD83C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62366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0152ADB"/>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2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20"/>
  </w:num>
  <w:num w:numId="7">
    <w:abstractNumId w:val="12"/>
  </w:num>
  <w:num w:numId="8">
    <w:abstractNumId w:val="7"/>
  </w:num>
  <w:num w:numId="9">
    <w:abstractNumId w:val="24"/>
  </w:num>
  <w:num w:numId="10">
    <w:abstractNumId w:val="21"/>
  </w:num>
  <w:num w:numId="11">
    <w:abstractNumId w:val="11"/>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5"/>
  </w:num>
  <w:num w:numId="23">
    <w:abstractNumId w:val="17"/>
  </w:num>
  <w:num w:numId="24">
    <w:abstractNumId w:val="23"/>
  </w:num>
  <w:num w:numId="25">
    <w:abstractNumId w:val="10"/>
  </w:num>
  <w:num w:numId="26">
    <w:abstractNumId w:val="13"/>
  </w:num>
  <w:num w:numId="27">
    <w:abstractNumId w:val="19"/>
  </w:num>
  <w:num w:numId="28">
    <w:abstractNumId w:val="22"/>
  </w:num>
  <w:num w:numId="29">
    <w:abstractNumId w:val="14"/>
  </w:num>
  <w:num w:numId="30">
    <w:abstractNumId w:val="16"/>
  </w:num>
  <w:num w:numId="31">
    <w:abstractNumId w:val="1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847E84"/>
    <w:rsid w:val="000041F8"/>
    <w:rsid w:val="000042A8"/>
    <w:rsid w:val="00004308"/>
    <w:rsid w:val="00005BF0"/>
    <w:rsid w:val="00007154"/>
    <w:rsid w:val="000103AE"/>
    <w:rsid w:val="00011D69"/>
    <w:rsid w:val="00012AD3"/>
    <w:rsid w:val="00015C2D"/>
    <w:rsid w:val="00015F00"/>
    <w:rsid w:val="00022C1D"/>
    <w:rsid w:val="00026755"/>
    <w:rsid w:val="00034987"/>
    <w:rsid w:val="00037752"/>
    <w:rsid w:val="000602DF"/>
    <w:rsid w:val="00061B05"/>
    <w:rsid w:val="000632D5"/>
    <w:rsid w:val="000644EE"/>
    <w:rsid w:val="00065A11"/>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27B42"/>
    <w:rsid w:val="0013360C"/>
    <w:rsid w:val="00133D33"/>
    <w:rsid w:val="00134D64"/>
    <w:rsid w:val="00135A30"/>
    <w:rsid w:val="0013612C"/>
    <w:rsid w:val="00137FF6"/>
    <w:rsid w:val="00141650"/>
    <w:rsid w:val="00162A12"/>
    <w:rsid w:val="00166530"/>
    <w:rsid w:val="001831C5"/>
    <w:rsid w:val="001832BD"/>
    <w:rsid w:val="001851C2"/>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24C50"/>
    <w:rsid w:val="002258CD"/>
    <w:rsid w:val="00230D00"/>
    <w:rsid w:val="00231DF7"/>
    <w:rsid w:val="00231FD1"/>
    <w:rsid w:val="002339E0"/>
    <w:rsid w:val="00233CF8"/>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2DB6"/>
    <w:rsid w:val="002C3040"/>
    <w:rsid w:val="002D022D"/>
    <w:rsid w:val="002D24BB"/>
    <w:rsid w:val="002D2C99"/>
    <w:rsid w:val="002D5BDD"/>
    <w:rsid w:val="002F06D8"/>
    <w:rsid w:val="002F2AF7"/>
    <w:rsid w:val="002F6434"/>
    <w:rsid w:val="002F7E1C"/>
    <w:rsid w:val="00301A75"/>
    <w:rsid w:val="00302F70"/>
    <w:rsid w:val="0030336F"/>
    <w:rsid w:val="0030375E"/>
    <w:rsid w:val="00311C3B"/>
    <w:rsid w:val="00312A30"/>
    <w:rsid w:val="00320F72"/>
    <w:rsid w:val="00322164"/>
    <w:rsid w:val="0032463E"/>
    <w:rsid w:val="00326224"/>
    <w:rsid w:val="00333375"/>
    <w:rsid w:val="00336456"/>
    <w:rsid w:val="00337EE4"/>
    <w:rsid w:val="00340FFD"/>
    <w:rsid w:val="0034698C"/>
    <w:rsid w:val="003506B1"/>
    <w:rsid w:val="00356AC7"/>
    <w:rsid w:val="003609FA"/>
    <w:rsid w:val="003710C8"/>
    <w:rsid w:val="003750BE"/>
    <w:rsid w:val="0037771E"/>
    <w:rsid w:val="00387B9D"/>
    <w:rsid w:val="0039364F"/>
    <w:rsid w:val="00396686"/>
    <w:rsid w:val="0039778E"/>
    <w:rsid w:val="003B4941"/>
    <w:rsid w:val="003C5714"/>
    <w:rsid w:val="003C6B9F"/>
    <w:rsid w:val="003C6E2A"/>
    <w:rsid w:val="003D0299"/>
    <w:rsid w:val="003D7897"/>
    <w:rsid w:val="003E6D80"/>
    <w:rsid w:val="003F05FA"/>
    <w:rsid w:val="003F244A"/>
    <w:rsid w:val="003F30B8"/>
    <w:rsid w:val="003F4C45"/>
    <w:rsid w:val="003F5F7B"/>
    <w:rsid w:val="003F7D64"/>
    <w:rsid w:val="00414300"/>
    <w:rsid w:val="00420F04"/>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0A74"/>
    <w:rsid w:val="004D15F3"/>
    <w:rsid w:val="004D5311"/>
    <w:rsid w:val="004D5DCC"/>
    <w:rsid w:val="004F10AF"/>
    <w:rsid w:val="004F11A4"/>
    <w:rsid w:val="004F2389"/>
    <w:rsid w:val="004F304D"/>
    <w:rsid w:val="004F61BE"/>
    <w:rsid w:val="004F66B1"/>
    <w:rsid w:val="00511C07"/>
    <w:rsid w:val="005173A6"/>
    <w:rsid w:val="00520BAA"/>
    <w:rsid w:val="00521428"/>
    <w:rsid w:val="005236D5"/>
    <w:rsid w:val="00525208"/>
    <w:rsid w:val="005257A5"/>
    <w:rsid w:val="005264C0"/>
    <w:rsid w:val="00526A8A"/>
    <w:rsid w:val="00531DF2"/>
    <w:rsid w:val="00541490"/>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C5B52"/>
    <w:rsid w:val="005D34F9"/>
    <w:rsid w:val="005D4190"/>
    <w:rsid w:val="005D67A3"/>
    <w:rsid w:val="005E2988"/>
    <w:rsid w:val="005E3085"/>
    <w:rsid w:val="005F51E1"/>
    <w:rsid w:val="006020BE"/>
    <w:rsid w:val="00611C80"/>
    <w:rsid w:val="00620692"/>
    <w:rsid w:val="006242CA"/>
    <w:rsid w:val="00627507"/>
    <w:rsid w:val="0063049B"/>
    <w:rsid w:val="006316BF"/>
    <w:rsid w:val="00633717"/>
    <w:rsid w:val="006344E1"/>
    <w:rsid w:val="006345D9"/>
    <w:rsid w:val="006434AE"/>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4814"/>
    <w:rsid w:val="006C23D4"/>
    <w:rsid w:val="006C694B"/>
    <w:rsid w:val="006C7BB0"/>
    <w:rsid w:val="006D3237"/>
    <w:rsid w:val="006E1A89"/>
    <w:rsid w:val="006E2E37"/>
    <w:rsid w:val="006E3CF1"/>
    <w:rsid w:val="006E59AA"/>
    <w:rsid w:val="006E7E80"/>
    <w:rsid w:val="006F48CA"/>
    <w:rsid w:val="006F64DD"/>
    <w:rsid w:val="00715127"/>
    <w:rsid w:val="00715E8E"/>
    <w:rsid w:val="00723580"/>
    <w:rsid w:val="00723755"/>
    <w:rsid w:val="0073136C"/>
    <w:rsid w:val="00731F0F"/>
    <w:rsid w:val="00733250"/>
    <w:rsid w:val="00741404"/>
    <w:rsid w:val="007441E5"/>
    <w:rsid w:val="007449E5"/>
    <w:rsid w:val="00747FF0"/>
    <w:rsid w:val="00764D4E"/>
    <w:rsid w:val="00765A1F"/>
    <w:rsid w:val="00775B6D"/>
    <w:rsid w:val="00776D68"/>
    <w:rsid w:val="007804D1"/>
    <w:rsid w:val="007850EE"/>
    <w:rsid w:val="00785B95"/>
    <w:rsid w:val="007877D2"/>
    <w:rsid w:val="00790E96"/>
    <w:rsid w:val="00793366"/>
    <w:rsid w:val="00793DAE"/>
    <w:rsid w:val="007A716F"/>
    <w:rsid w:val="007B270A"/>
    <w:rsid w:val="007C0695"/>
    <w:rsid w:val="007C419A"/>
    <w:rsid w:val="007C4CC8"/>
    <w:rsid w:val="007C5426"/>
    <w:rsid w:val="007C5798"/>
    <w:rsid w:val="007D4832"/>
    <w:rsid w:val="007E21B2"/>
    <w:rsid w:val="007E2C4E"/>
    <w:rsid w:val="007F1905"/>
    <w:rsid w:val="00801300"/>
    <w:rsid w:val="00802C64"/>
    <w:rsid w:val="00804F1D"/>
    <w:rsid w:val="00805E52"/>
    <w:rsid w:val="008061D0"/>
    <w:rsid w:val="00810B38"/>
    <w:rsid w:val="008204C7"/>
    <w:rsid w:val="00820992"/>
    <w:rsid w:val="00823602"/>
    <w:rsid w:val="008255F5"/>
    <w:rsid w:val="0083014E"/>
    <w:rsid w:val="0083214A"/>
    <w:rsid w:val="00834220"/>
    <w:rsid w:val="00837D52"/>
    <w:rsid w:val="00845723"/>
    <w:rsid w:val="00847E84"/>
    <w:rsid w:val="00851EF9"/>
    <w:rsid w:val="008577FD"/>
    <w:rsid w:val="00860B03"/>
    <w:rsid w:val="0086497A"/>
    <w:rsid w:val="00867358"/>
    <w:rsid w:val="008713A1"/>
    <w:rsid w:val="008754AB"/>
    <w:rsid w:val="008802A9"/>
    <w:rsid w:val="0088060C"/>
    <w:rsid w:val="00893576"/>
    <w:rsid w:val="00893E73"/>
    <w:rsid w:val="008B02DC"/>
    <w:rsid w:val="008B57CE"/>
    <w:rsid w:val="008C26DE"/>
    <w:rsid w:val="008D2225"/>
    <w:rsid w:val="008D4752"/>
    <w:rsid w:val="008E0AFB"/>
    <w:rsid w:val="008E271C"/>
    <w:rsid w:val="008E418E"/>
    <w:rsid w:val="008E5BC6"/>
    <w:rsid w:val="008E6A25"/>
    <w:rsid w:val="008F5193"/>
    <w:rsid w:val="008F55F5"/>
    <w:rsid w:val="009013A7"/>
    <w:rsid w:val="009017FB"/>
    <w:rsid w:val="009017FC"/>
    <w:rsid w:val="0090506B"/>
    <w:rsid w:val="009050C9"/>
    <w:rsid w:val="009066FC"/>
    <w:rsid w:val="00911B71"/>
    <w:rsid w:val="009140A3"/>
    <w:rsid w:val="009144A2"/>
    <w:rsid w:val="0091510C"/>
    <w:rsid w:val="009259AC"/>
    <w:rsid w:val="00926F38"/>
    <w:rsid w:val="00932C85"/>
    <w:rsid w:val="00934301"/>
    <w:rsid w:val="00936142"/>
    <w:rsid w:val="00936CD1"/>
    <w:rsid w:val="00941747"/>
    <w:rsid w:val="00941EFB"/>
    <w:rsid w:val="00947AFB"/>
    <w:rsid w:val="00951D7D"/>
    <w:rsid w:val="009630C7"/>
    <w:rsid w:val="009645F9"/>
    <w:rsid w:val="00972B55"/>
    <w:rsid w:val="009743B7"/>
    <w:rsid w:val="0098228B"/>
    <w:rsid w:val="009828DA"/>
    <w:rsid w:val="00985BAB"/>
    <w:rsid w:val="00985C55"/>
    <w:rsid w:val="009B1B5F"/>
    <w:rsid w:val="009B6673"/>
    <w:rsid w:val="009C191B"/>
    <w:rsid w:val="009C2BD6"/>
    <w:rsid w:val="009E1F32"/>
    <w:rsid w:val="009E776C"/>
    <w:rsid w:val="009F595D"/>
    <w:rsid w:val="009F65DC"/>
    <w:rsid w:val="00A1726E"/>
    <w:rsid w:val="00A204CF"/>
    <w:rsid w:val="00A23D35"/>
    <w:rsid w:val="00A23D49"/>
    <w:rsid w:val="00A242AC"/>
    <w:rsid w:val="00A27004"/>
    <w:rsid w:val="00A30C29"/>
    <w:rsid w:val="00A323B3"/>
    <w:rsid w:val="00A34DD6"/>
    <w:rsid w:val="00A36819"/>
    <w:rsid w:val="00A36989"/>
    <w:rsid w:val="00A41208"/>
    <w:rsid w:val="00A43628"/>
    <w:rsid w:val="00A527F4"/>
    <w:rsid w:val="00A54192"/>
    <w:rsid w:val="00A6035E"/>
    <w:rsid w:val="00A6144C"/>
    <w:rsid w:val="00A66617"/>
    <w:rsid w:val="00A671F8"/>
    <w:rsid w:val="00A673A4"/>
    <w:rsid w:val="00A724AE"/>
    <w:rsid w:val="00A7295A"/>
    <w:rsid w:val="00A73329"/>
    <w:rsid w:val="00A82359"/>
    <w:rsid w:val="00A865D2"/>
    <w:rsid w:val="00A94C20"/>
    <w:rsid w:val="00AA227F"/>
    <w:rsid w:val="00AA3BC7"/>
    <w:rsid w:val="00AA754A"/>
    <w:rsid w:val="00AB099E"/>
    <w:rsid w:val="00AB4328"/>
    <w:rsid w:val="00AC3ABA"/>
    <w:rsid w:val="00AD4891"/>
    <w:rsid w:val="00AE0A2E"/>
    <w:rsid w:val="00AE354C"/>
    <w:rsid w:val="00AE3C92"/>
    <w:rsid w:val="00AF4B07"/>
    <w:rsid w:val="00AF6186"/>
    <w:rsid w:val="00AF7A3A"/>
    <w:rsid w:val="00B160DB"/>
    <w:rsid w:val="00B20836"/>
    <w:rsid w:val="00B235BB"/>
    <w:rsid w:val="00B27A44"/>
    <w:rsid w:val="00B30BBF"/>
    <w:rsid w:val="00B33C03"/>
    <w:rsid w:val="00B35F5E"/>
    <w:rsid w:val="00B44E56"/>
    <w:rsid w:val="00B46543"/>
    <w:rsid w:val="00B47D33"/>
    <w:rsid w:val="00B52BE0"/>
    <w:rsid w:val="00B54133"/>
    <w:rsid w:val="00B701ED"/>
    <w:rsid w:val="00B8086C"/>
    <w:rsid w:val="00B861B4"/>
    <w:rsid w:val="00B86DFE"/>
    <w:rsid w:val="00B90990"/>
    <w:rsid w:val="00B922FF"/>
    <w:rsid w:val="00B9281E"/>
    <w:rsid w:val="00B93925"/>
    <w:rsid w:val="00B95187"/>
    <w:rsid w:val="00BA2D55"/>
    <w:rsid w:val="00BA71B1"/>
    <w:rsid w:val="00BB0637"/>
    <w:rsid w:val="00BB14B0"/>
    <w:rsid w:val="00BB345F"/>
    <w:rsid w:val="00BB68EA"/>
    <w:rsid w:val="00BC1C27"/>
    <w:rsid w:val="00BC6BBF"/>
    <w:rsid w:val="00BD1572"/>
    <w:rsid w:val="00BE14E3"/>
    <w:rsid w:val="00BE3774"/>
    <w:rsid w:val="00BE41E5"/>
    <w:rsid w:val="00BE50B0"/>
    <w:rsid w:val="00BE7CE0"/>
    <w:rsid w:val="00BF0D9B"/>
    <w:rsid w:val="00BF4109"/>
    <w:rsid w:val="00BF4CC3"/>
    <w:rsid w:val="00C03F71"/>
    <w:rsid w:val="00C054C7"/>
    <w:rsid w:val="00C057B5"/>
    <w:rsid w:val="00C22687"/>
    <w:rsid w:val="00C2540F"/>
    <w:rsid w:val="00C25A3E"/>
    <w:rsid w:val="00C32E4D"/>
    <w:rsid w:val="00C333A0"/>
    <w:rsid w:val="00C36408"/>
    <w:rsid w:val="00C36A81"/>
    <w:rsid w:val="00C41226"/>
    <w:rsid w:val="00C41974"/>
    <w:rsid w:val="00C41981"/>
    <w:rsid w:val="00C456AA"/>
    <w:rsid w:val="00C45947"/>
    <w:rsid w:val="00C535F5"/>
    <w:rsid w:val="00C53F4A"/>
    <w:rsid w:val="00C54125"/>
    <w:rsid w:val="00C55B54"/>
    <w:rsid w:val="00C6098E"/>
    <w:rsid w:val="00C6152C"/>
    <w:rsid w:val="00C74810"/>
    <w:rsid w:val="00C90D68"/>
    <w:rsid w:val="00C939FE"/>
    <w:rsid w:val="00CA4BDA"/>
    <w:rsid w:val="00CB1F66"/>
    <w:rsid w:val="00CB25E5"/>
    <w:rsid w:val="00CB2951"/>
    <w:rsid w:val="00CD282B"/>
    <w:rsid w:val="00CD4C35"/>
    <w:rsid w:val="00CD7369"/>
    <w:rsid w:val="00CE0B0E"/>
    <w:rsid w:val="00CE3831"/>
    <w:rsid w:val="00D00ABB"/>
    <w:rsid w:val="00D01011"/>
    <w:rsid w:val="00D02EEC"/>
    <w:rsid w:val="00D03551"/>
    <w:rsid w:val="00D06A63"/>
    <w:rsid w:val="00D07C7C"/>
    <w:rsid w:val="00D07E0E"/>
    <w:rsid w:val="00D11478"/>
    <w:rsid w:val="00D15ED0"/>
    <w:rsid w:val="00D20A92"/>
    <w:rsid w:val="00D21B3E"/>
    <w:rsid w:val="00D21FED"/>
    <w:rsid w:val="00D24251"/>
    <w:rsid w:val="00D33349"/>
    <w:rsid w:val="00D343E2"/>
    <w:rsid w:val="00D361A2"/>
    <w:rsid w:val="00D44C2E"/>
    <w:rsid w:val="00D45414"/>
    <w:rsid w:val="00D47891"/>
    <w:rsid w:val="00D5240F"/>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2B70"/>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37CB1"/>
    <w:rsid w:val="00E40404"/>
    <w:rsid w:val="00E459C6"/>
    <w:rsid w:val="00E47589"/>
    <w:rsid w:val="00E64915"/>
    <w:rsid w:val="00E661D4"/>
    <w:rsid w:val="00E70091"/>
    <w:rsid w:val="00E720F5"/>
    <w:rsid w:val="00E76D47"/>
    <w:rsid w:val="00E849F7"/>
    <w:rsid w:val="00E90302"/>
    <w:rsid w:val="00E97396"/>
    <w:rsid w:val="00EA185E"/>
    <w:rsid w:val="00EA1C87"/>
    <w:rsid w:val="00EA592A"/>
    <w:rsid w:val="00EB14E4"/>
    <w:rsid w:val="00EB32A5"/>
    <w:rsid w:val="00EB34ED"/>
    <w:rsid w:val="00EB7BE0"/>
    <w:rsid w:val="00EC315E"/>
    <w:rsid w:val="00EC69C0"/>
    <w:rsid w:val="00ED077C"/>
    <w:rsid w:val="00ED1190"/>
    <w:rsid w:val="00ED6544"/>
    <w:rsid w:val="00EE0277"/>
    <w:rsid w:val="00EE3E00"/>
    <w:rsid w:val="00EE5DD2"/>
    <w:rsid w:val="00F00A79"/>
    <w:rsid w:val="00F00E86"/>
    <w:rsid w:val="00F07C1E"/>
    <w:rsid w:val="00F105DB"/>
    <w:rsid w:val="00F132BC"/>
    <w:rsid w:val="00F13D80"/>
    <w:rsid w:val="00F16AAA"/>
    <w:rsid w:val="00F20E07"/>
    <w:rsid w:val="00F21161"/>
    <w:rsid w:val="00F218EF"/>
    <w:rsid w:val="00F21BC7"/>
    <w:rsid w:val="00F266A2"/>
    <w:rsid w:val="00F32269"/>
    <w:rsid w:val="00F5432B"/>
    <w:rsid w:val="00F56A6F"/>
    <w:rsid w:val="00F5709C"/>
    <w:rsid w:val="00F64EF1"/>
    <w:rsid w:val="00F82731"/>
    <w:rsid w:val="00F8765F"/>
    <w:rsid w:val="00F90767"/>
    <w:rsid w:val="00FA685B"/>
    <w:rsid w:val="00FB0C01"/>
    <w:rsid w:val="00FC18F2"/>
    <w:rsid w:val="00FC39E5"/>
    <w:rsid w:val="00FC3A78"/>
    <w:rsid w:val="00FD1005"/>
    <w:rsid w:val="00FD6C75"/>
    <w:rsid w:val="00FE71B3"/>
    <w:rsid w:val="00FE73C2"/>
    <w:rsid w:val="00FF0CAA"/>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BE7CE0"/>
    <w:pPr>
      <w:jc w:val="both"/>
    </w:pPr>
    <w:rPr>
      <w:rFonts w:eastAsiaTheme="minorEastAsia"/>
      <w:sz w:val="24"/>
    </w:rPr>
  </w:style>
  <w:style w:type="paragraph" w:styleId="Titolo1">
    <w:name w:val="heading 1"/>
    <w:basedOn w:val="Normale"/>
    <w:next w:val="Normale"/>
    <w:link w:val="Titolo1Carattere"/>
    <w:uiPriority w:val="99"/>
    <w:semiHidden/>
    <w:rsid w:val="00BE7CE0"/>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BE7CE0"/>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BE7CE0"/>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BE7CE0"/>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BE7CE0"/>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BE7CE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BE7CE0"/>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BE7CE0"/>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BE7CE0"/>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BE7CE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7CE0"/>
    <w:rPr>
      <w:rFonts w:ascii="Tahoma" w:eastAsiaTheme="minorEastAsia" w:hAnsi="Tahoma" w:cs="Tahoma"/>
      <w:sz w:val="16"/>
      <w:szCs w:val="16"/>
    </w:rPr>
  </w:style>
  <w:style w:type="character" w:styleId="Titolodellibro">
    <w:name w:val="Book Title"/>
    <w:uiPriority w:val="99"/>
    <w:semiHidden/>
    <w:qFormat/>
    <w:rsid w:val="00BE7CE0"/>
    <w:rPr>
      <w:i/>
      <w:iCs/>
      <w:smallCaps/>
      <w:spacing w:val="5"/>
    </w:rPr>
  </w:style>
  <w:style w:type="paragraph" w:customStyle="1" w:styleId="ECHRHeader">
    <w:name w:val="ECHR_Header"/>
    <w:aliases w:val="Ju_Header"/>
    <w:basedOn w:val="Intestazione"/>
    <w:uiPriority w:val="4"/>
    <w:qFormat/>
    <w:rsid w:val="00BE7CE0"/>
    <w:pPr>
      <w:tabs>
        <w:tab w:val="clear" w:pos="4536"/>
        <w:tab w:val="clear" w:pos="9072"/>
        <w:tab w:val="center" w:pos="3686"/>
        <w:tab w:val="right" w:pos="7371"/>
      </w:tabs>
      <w:jc w:val="left"/>
    </w:pPr>
    <w:rPr>
      <w:sz w:val="18"/>
    </w:rPr>
  </w:style>
  <w:style w:type="paragraph" w:customStyle="1" w:styleId="DecHTitle">
    <w:name w:val="Dec_H_Title"/>
    <w:basedOn w:val="ECHRTitleCentre1"/>
    <w:uiPriority w:val="7"/>
    <w:semiHidden/>
    <w:qFormat/>
    <w:rsid w:val="00BE7CE0"/>
  </w:style>
  <w:style w:type="character" w:styleId="Enfasigrassetto">
    <w:name w:val="Strong"/>
    <w:uiPriority w:val="99"/>
    <w:semiHidden/>
    <w:qFormat/>
    <w:rsid w:val="00BE7CE0"/>
    <w:rPr>
      <w:b/>
      <w:bCs/>
    </w:rPr>
  </w:style>
  <w:style w:type="paragraph" w:styleId="Nessunaspaziatura">
    <w:name w:val="No Spacing"/>
    <w:basedOn w:val="Normale"/>
    <w:link w:val="NessunaspaziaturaCarattere"/>
    <w:semiHidden/>
    <w:qFormat/>
    <w:rsid w:val="00BE7CE0"/>
    <w:rPr>
      <w:sz w:val="22"/>
    </w:rPr>
  </w:style>
  <w:style w:type="character" w:customStyle="1" w:styleId="NessunaspaziaturaCarattere">
    <w:name w:val="Nessuna spaziatura Carattere"/>
    <w:basedOn w:val="Carpredefinitoparagrafo"/>
    <w:link w:val="Nessunaspaziatura"/>
    <w:semiHidden/>
    <w:rsid w:val="00BE7CE0"/>
    <w:rPr>
      <w:rFonts w:eastAsiaTheme="minorEastAsia"/>
    </w:rPr>
  </w:style>
  <w:style w:type="paragraph" w:customStyle="1" w:styleId="ECHRParaQuote">
    <w:name w:val="ECHR_Para_Quote"/>
    <w:aliases w:val="Ju_Quot"/>
    <w:basedOn w:val="Normale"/>
    <w:link w:val="JuQuotChar"/>
    <w:uiPriority w:val="14"/>
    <w:qFormat/>
    <w:rsid w:val="00BE7CE0"/>
    <w:pPr>
      <w:spacing w:before="120" w:after="120"/>
      <w:ind w:left="425" w:firstLine="142"/>
    </w:pPr>
    <w:rPr>
      <w:sz w:val="20"/>
    </w:rPr>
  </w:style>
  <w:style w:type="paragraph" w:customStyle="1" w:styleId="DecList">
    <w:name w:val="Dec_List"/>
    <w:basedOn w:val="Normale"/>
    <w:uiPriority w:val="9"/>
    <w:semiHidden/>
    <w:qFormat/>
    <w:rsid w:val="00BE7CE0"/>
    <w:pPr>
      <w:spacing w:before="240"/>
      <w:ind w:left="284"/>
    </w:pPr>
  </w:style>
  <w:style w:type="paragraph" w:customStyle="1" w:styleId="DummyStyle">
    <w:name w:val="Dummy_Style"/>
    <w:basedOn w:val="Normale"/>
    <w:semiHidden/>
    <w:qFormat/>
    <w:rsid w:val="00BE7CE0"/>
    <w:rPr>
      <w:color w:val="00B050"/>
    </w:rPr>
  </w:style>
  <w:style w:type="paragraph" w:customStyle="1" w:styleId="JuAppQuestion">
    <w:name w:val="Ju_App_Question"/>
    <w:basedOn w:val="Normale"/>
    <w:uiPriority w:val="5"/>
    <w:semiHidden/>
    <w:qFormat/>
    <w:rsid w:val="00BE7CE0"/>
    <w:pPr>
      <w:numPr>
        <w:numId w:val="43"/>
      </w:numPr>
      <w:jc w:val="left"/>
    </w:pPr>
    <w:rPr>
      <w:b/>
    </w:rPr>
  </w:style>
  <w:style w:type="paragraph" w:customStyle="1" w:styleId="JuCourt">
    <w:name w:val="Ju_Court"/>
    <w:basedOn w:val="Normale"/>
    <w:next w:val="Normale"/>
    <w:uiPriority w:val="16"/>
    <w:qFormat/>
    <w:rsid w:val="00BE7CE0"/>
    <w:pPr>
      <w:tabs>
        <w:tab w:val="left" w:pos="907"/>
        <w:tab w:val="left" w:pos="1701"/>
        <w:tab w:val="right" w:pos="7371"/>
      </w:tabs>
      <w:spacing w:before="240"/>
      <w:ind w:left="397" w:hanging="397"/>
      <w:jc w:val="left"/>
    </w:pPr>
    <w:rPr>
      <w:lang w:bidi="en-US"/>
    </w:rPr>
  </w:style>
  <w:style w:type="paragraph" w:customStyle="1" w:styleId="ECHRTitleCentre3">
    <w:name w:val="ECHR_Title_Centre_3"/>
    <w:aliases w:val="Ju_H_Article"/>
    <w:basedOn w:val="Normale"/>
    <w:next w:val="ECHRParaQuote"/>
    <w:uiPriority w:val="27"/>
    <w:qFormat/>
    <w:rsid w:val="00BE7CE0"/>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BE7CE0"/>
    <w:pPr>
      <w:keepNext/>
      <w:keepLines/>
      <w:spacing w:after="240"/>
      <w:jc w:val="center"/>
      <w:outlineLvl w:val="0"/>
    </w:pPr>
    <w:rPr>
      <w:rFonts w:asciiTheme="majorHAnsi" w:hAnsiTheme="majorHAnsi"/>
      <w:sz w:val="28"/>
    </w:rPr>
  </w:style>
  <w:style w:type="paragraph" w:customStyle="1" w:styleId="JuHeaderLandscape">
    <w:name w:val="Ju_Header_Landscape"/>
    <w:basedOn w:val="ECHRHeader"/>
    <w:uiPriority w:val="4"/>
    <w:qFormat/>
    <w:rsid w:val="00BE7CE0"/>
    <w:pPr>
      <w:tabs>
        <w:tab w:val="clear" w:pos="3686"/>
        <w:tab w:val="clear" w:pos="7371"/>
        <w:tab w:val="center" w:pos="6146"/>
        <w:tab w:val="right" w:pos="12293"/>
      </w:tabs>
    </w:pPr>
  </w:style>
  <w:style w:type="paragraph" w:customStyle="1" w:styleId="ECHRTitle1">
    <w:name w:val="ECHR_Title_1"/>
    <w:aliases w:val="Ju_H_Head"/>
    <w:basedOn w:val="Normale"/>
    <w:next w:val="ECHRPara"/>
    <w:uiPriority w:val="18"/>
    <w:qFormat/>
    <w:rsid w:val="00BE7CE0"/>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BE7CE0"/>
    <w:pPr>
      <w:tabs>
        <w:tab w:val="center" w:pos="6407"/>
      </w:tabs>
      <w:spacing w:before="720"/>
      <w:jc w:val="right"/>
    </w:pPr>
  </w:style>
  <w:style w:type="paragraph" w:customStyle="1" w:styleId="JuSigned">
    <w:name w:val="Ju_Signed"/>
    <w:basedOn w:val="Normale"/>
    <w:next w:val="JuParaLast"/>
    <w:uiPriority w:val="32"/>
    <w:qFormat/>
    <w:rsid w:val="00BE7CE0"/>
    <w:pPr>
      <w:tabs>
        <w:tab w:val="center" w:pos="851"/>
        <w:tab w:val="center" w:pos="6407"/>
      </w:tabs>
      <w:spacing w:before="720"/>
      <w:jc w:val="left"/>
    </w:pPr>
  </w:style>
  <w:style w:type="paragraph" w:styleId="Titolo">
    <w:name w:val="Title"/>
    <w:basedOn w:val="Normale"/>
    <w:next w:val="Normale"/>
    <w:link w:val="TitoloCarattere"/>
    <w:uiPriority w:val="99"/>
    <w:semiHidden/>
    <w:qFormat/>
    <w:rsid w:val="00BE7CE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BE7CE0"/>
    <w:rPr>
      <w:rFonts w:asciiTheme="majorHAnsi" w:eastAsiaTheme="majorEastAsia" w:hAnsiTheme="majorHAnsi" w:cstheme="majorBidi"/>
      <w:spacing w:val="5"/>
      <w:sz w:val="52"/>
      <w:szCs w:val="52"/>
      <w:lang w:bidi="en-US"/>
    </w:rPr>
  </w:style>
  <w:style w:type="character" w:customStyle="1" w:styleId="JuITMark">
    <w:name w:val="Ju_ITMark"/>
    <w:basedOn w:val="Carpredefinitoparagrafo"/>
    <w:uiPriority w:val="38"/>
    <w:qFormat/>
    <w:rsid w:val="00BE7CE0"/>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BE7CE0"/>
    <w:rPr>
      <w:caps w:val="0"/>
      <w:smallCaps/>
    </w:rPr>
  </w:style>
  <w:style w:type="paragraph" w:customStyle="1" w:styleId="JuParaSub">
    <w:name w:val="Ju_Para_Sub"/>
    <w:basedOn w:val="ECHRPara"/>
    <w:uiPriority w:val="13"/>
    <w:qFormat/>
    <w:rsid w:val="00BE7CE0"/>
    <w:pPr>
      <w:ind w:left="284"/>
    </w:pPr>
  </w:style>
  <w:style w:type="paragraph" w:customStyle="1" w:styleId="JuQuotSub">
    <w:name w:val="Ju_Quot_Sub"/>
    <w:basedOn w:val="ECHRParaQuote"/>
    <w:uiPriority w:val="15"/>
    <w:qFormat/>
    <w:rsid w:val="00BE7CE0"/>
    <w:pPr>
      <w:ind w:left="567"/>
    </w:pPr>
  </w:style>
  <w:style w:type="paragraph" w:customStyle="1" w:styleId="OpiH1">
    <w:name w:val="Opi_H_1"/>
    <w:basedOn w:val="ECHRHeading2"/>
    <w:uiPriority w:val="42"/>
    <w:qFormat/>
    <w:rsid w:val="00BE7CE0"/>
    <w:pPr>
      <w:ind w:left="635" w:hanging="357"/>
      <w:outlineLvl w:val="2"/>
    </w:pPr>
  </w:style>
  <w:style w:type="paragraph" w:customStyle="1" w:styleId="ECHRHeading1">
    <w:name w:val="ECHR_Heading_1"/>
    <w:aliases w:val="Ju_H_I_Roman"/>
    <w:basedOn w:val="Titolo1"/>
    <w:next w:val="ECHRPara"/>
    <w:uiPriority w:val="19"/>
    <w:qFormat/>
    <w:rsid w:val="00BE7CE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link w:val="JuHAChar"/>
    <w:uiPriority w:val="20"/>
    <w:qFormat/>
    <w:rsid w:val="00BE7CE0"/>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BE7CE0"/>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BE7CE0"/>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rsid w:val="00BE7CE0"/>
    <w:rPr>
      <w:sz w:val="24"/>
    </w:rPr>
  </w:style>
  <w:style w:type="character" w:customStyle="1" w:styleId="Titolo1Carattere">
    <w:name w:val="Titolo 1 Carattere"/>
    <w:basedOn w:val="Carpredefinitoparagrafo"/>
    <w:link w:val="Titolo1"/>
    <w:uiPriority w:val="99"/>
    <w:semiHidden/>
    <w:rsid w:val="00BE7CE0"/>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link w:val="JuHaChar0"/>
    <w:uiPriority w:val="22"/>
    <w:qFormat/>
    <w:rsid w:val="00BE7CE0"/>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BE7CE0"/>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BE7CE0"/>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BE7CE0"/>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BE7CE0"/>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BE7CE0"/>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BE7CE0"/>
    <w:pPr>
      <w:keepNext/>
      <w:keepLines/>
      <w:spacing w:before="240"/>
      <w:ind w:firstLine="284"/>
    </w:pPr>
  </w:style>
  <w:style w:type="paragraph" w:customStyle="1" w:styleId="JuList">
    <w:name w:val="Ju_List"/>
    <w:basedOn w:val="Normale"/>
    <w:uiPriority w:val="28"/>
    <w:qFormat/>
    <w:rsid w:val="00BE7CE0"/>
    <w:pPr>
      <w:ind w:left="340" w:hanging="340"/>
    </w:pPr>
  </w:style>
  <w:style w:type="character" w:customStyle="1" w:styleId="Titolo4Carattere">
    <w:name w:val="Titolo 4 Carattere"/>
    <w:basedOn w:val="Carpredefinitoparagrafo"/>
    <w:link w:val="Titolo4"/>
    <w:uiPriority w:val="99"/>
    <w:semiHidden/>
    <w:rsid w:val="00BE7CE0"/>
    <w:rPr>
      <w:rFonts w:asciiTheme="majorHAnsi" w:eastAsiaTheme="majorEastAsia" w:hAnsiTheme="majorHAnsi" w:cstheme="majorBidi"/>
      <w:b/>
      <w:bCs/>
      <w:i/>
      <w:iCs/>
      <w:color w:val="777777"/>
      <w:sz w:val="24"/>
    </w:rPr>
  </w:style>
  <w:style w:type="paragraph" w:customStyle="1" w:styleId="JuLista">
    <w:name w:val="Ju_List_a"/>
    <w:basedOn w:val="JuList"/>
    <w:uiPriority w:val="28"/>
    <w:qFormat/>
    <w:rsid w:val="00BE7CE0"/>
    <w:pPr>
      <w:ind w:left="346" w:firstLine="0"/>
    </w:pPr>
  </w:style>
  <w:style w:type="character" w:customStyle="1" w:styleId="Titolo5Carattere">
    <w:name w:val="Titolo 5 Carattere"/>
    <w:basedOn w:val="Carpredefinitoparagrafo"/>
    <w:link w:val="Titolo5"/>
    <w:uiPriority w:val="99"/>
    <w:semiHidden/>
    <w:rsid w:val="00BE7CE0"/>
    <w:rPr>
      <w:rFonts w:asciiTheme="majorHAnsi" w:eastAsiaTheme="majorEastAsia" w:hAnsiTheme="majorHAnsi" w:cstheme="majorBidi"/>
      <w:b/>
      <w:bCs/>
      <w:color w:val="808080"/>
    </w:rPr>
  </w:style>
  <w:style w:type="paragraph" w:customStyle="1" w:styleId="JuListi">
    <w:name w:val="Ju_List_i"/>
    <w:basedOn w:val="Normale"/>
    <w:next w:val="JuLista"/>
    <w:uiPriority w:val="28"/>
    <w:qFormat/>
    <w:rsid w:val="00BE7CE0"/>
    <w:pPr>
      <w:ind w:left="794"/>
    </w:pPr>
  </w:style>
  <w:style w:type="paragraph" w:customStyle="1" w:styleId="OpiHa">
    <w:name w:val="Opi_H_a"/>
    <w:basedOn w:val="ECHRHeading3"/>
    <w:uiPriority w:val="43"/>
    <w:qFormat/>
    <w:rsid w:val="00BE7CE0"/>
    <w:pPr>
      <w:ind w:left="833" w:hanging="357"/>
      <w:outlineLvl w:val="3"/>
    </w:pPr>
    <w:rPr>
      <w:b/>
      <w:i w:val="0"/>
      <w:sz w:val="20"/>
    </w:rPr>
  </w:style>
  <w:style w:type="character" w:styleId="Enfasidelicata">
    <w:name w:val="Subtle Emphasis"/>
    <w:uiPriority w:val="99"/>
    <w:semiHidden/>
    <w:qFormat/>
    <w:rsid w:val="00BE7CE0"/>
    <w:rPr>
      <w:i/>
      <w:iCs/>
    </w:rPr>
  </w:style>
  <w:style w:type="paragraph" w:customStyle="1" w:styleId="OpiHA0">
    <w:name w:val="Opi_H_A"/>
    <w:basedOn w:val="ECHRHeading1"/>
    <w:next w:val="OpiPara"/>
    <w:uiPriority w:val="41"/>
    <w:qFormat/>
    <w:rsid w:val="00BE7CE0"/>
    <w:pPr>
      <w:tabs>
        <w:tab w:val="clear" w:pos="357"/>
      </w:tabs>
      <w:outlineLvl w:val="1"/>
    </w:pPr>
    <w:rPr>
      <w:b/>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qFormat/>
    <w:rsid w:val="00BE7CE0"/>
    <w:pPr>
      <w:ind w:left="1037" w:hanging="357"/>
      <w:outlineLvl w:val="4"/>
    </w:pPr>
    <w:rPr>
      <w:b w:val="0"/>
      <w:i/>
    </w:rPr>
  </w:style>
  <w:style w:type="paragraph" w:customStyle="1" w:styleId="OpiPara">
    <w:name w:val="Opi_Para"/>
    <w:basedOn w:val="ECHRPara"/>
    <w:uiPriority w:val="46"/>
    <w:qFormat/>
    <w:rsid w:val="00BE7CE0"/>
  </w:style>
  <w:style w:type="paragraph" w:styleId="Sottotitolo">
    <w:name w:val="Subtitle"/>
    <w:basedOn w:val="Normale"/>
    <w:next w:val="Normale"/>
    <w:link w:val="SottotitoloCarattere"/>
    <w:uiPriority w:val="99"/>
    <w:semiHidden/>
    <w:qFormat/>
    <w:rsid w:val="00BE7CE0"/>
    <w:pPr>
      <w:spacing w:after="600"/>
    </w:pPr>
    <w:rPr>
      <w:rFonts w:asciiTheme="majorHAnsi" w:eastAsiaTheme="majorEastAsia" w:hAnsiTheme="majorHAnsi" w:cstheme="majorBidi"/>
      <w:i/>
      <w:iCs/>
      <w:spacing w:val="13"/>
      <w:szCs w:val="24"/>
      <w:lang w:bidi="en-US"/>
    </w:rPr>
  </w:style>
  <w:style w:type="character" w:styleId="Enfasicorsivo">
    <w:name w:val="Emphasis"/>
    <w:uiPriority w:val="99"/>
    <w:semiHidden/>
    <w:qFormat/>
    <w:rsid w:val="00BE7CE0"/>
    <w:rPr>
      <w:b/>
      <w:bCs/>
      <w:i/>
      <w:iCs/>
      <w:spacing w:val="10"/>
      <w:bdr w:val="none" w:sz="0" w:space="0" w:color="auto"/>
      <w:shd w:val="clear" w:color="auto" w:fill="auto"/>
    </w:rPr>
  </w:style>
  <w:style w:type="paragraph" w:styleId="Pidipagina">
    <w:name w:val="footer"/>
    <w:basedOn w:val="Normale"/>
    <w:link w:val="PidipaginaCarattere"/>
    <w:uiPriority w:val="57"/>
    <w:semiHidden/>
    <w:rsid w:val="00BE7CE0"/>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BE7CE0"/>
    <w:rPr>
      <w:sz w:val="24"/>
    </w:rPr>
  </w:style>
  <w:style w:type="character" w:styleId="Rimandonotaapidipagina">
    <w:name w:val="footnote reference"/>
    <w:basedOn w:val="Carpredefinitoparagrafo"/>
    <w:uiPriority w:val="99"/>
    <w:semiHidden/>
    <w:rsid w:val="00BE7CE0"/>
    <w:rPr>
      <w:vertAlign w:val="superscript"/>
    </w:rPr>
  </w:style>
  <w:style w:type="paragraph" w:styleId="Testonotaapidipagina">
    <w:name w:val="footnote text"/>
    <w:basedOn w:val="Normale"/>
    <w:link w:val="TestonotaapidipaginaCarattere"/>
    <w:uiPriority w:val="99"/>
    <w:semiHidden/>
    <w:rsid w:val="00BE7CE0"/>
    <w:rPr>
      <w:sz w:val="20"/>
      <w:szCs w:val="20"/>
    </w:rPr>
  </w:style>
  <w:style w:type="character" w:customStyle="1" w:styleId="TestonotaapidipaginaCarattere">
    <w:name w:val="Testo nota a piè di pagina Carattere"/>
    <w:basedOn w:val="Carpredefinitoparagrafo"/>
    <w:link w:val="Testonotaapidipagina"/>
    <w:uiPriority w:val="99"/>
    <w:semiHidden/>
    <w:rsid w:val="00BE7CE0"/>
    <w:rPr>
      <w:rFonts w:eastAsiaTheme="minorEastAsia"/>
      <w:sz w:val="20"/>
      <w:szCs w:val="20"/>
    </w:rPr>
  </w:style>
  <w:style w:type="character" w:customStyle="1" w:styleId="Titolo6Carattere">
    <w:name w:val="Titolo 6 Carattere"/>
    <w:basedOn w:val="Carpredefinitoparagrafo"/>
    <w:link w:val="Titolo6"/>
    <w:uiPriority w:val="99"/>
    <w:semiHidden/>
    <w:rsid w:val="00BE7CE0"/>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BE7CE0"/>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BE7CE0"/>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BE7CE0"/>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BE7CE0"/>
    <w:rPr>
      <w:color w:val="0072BC" w:themeColor="hyperlink"/>
      <w:u w:val="single"/>
    </w:rPr>
  </w:style>
  <w:style w:type="character" w:styleId="Enfasiintensa">
    <w:name w:val="Intense Emphasis"/>
    <w:uiPriority w:val="99"/>
    <w:semiHidden/>
    <w:qFormat/>
    <w:rsid w:val="00BE7CE0"/>
    <w:rPr>
      <w:b/>
      <w:bCs/>
    </w:rPr>
  </w:style>
  <w:style w:type="paragraph" w:styleId="Citazioneintensa">
    <w:name w:val="Intense Quote"/>
    <w:basedOn w:val="Normale"/>
    <w:next w:val="Normale"/>
    <w:link w:val="CitazioneintensaCarattere"/>
    <w:uiPriority w:val="99"/>
    <w:semiHidden/>
    <w:qFormat/>
    <w:rsid w:val="00BE7CE0"/>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BE7CE0"/>
    <w:rPr>
      <w:rFonts w:eastAsiaTheme="minorEastAsia"/>
      <w:b/>
      <w:bCs/>
      <w:i/>
      <w:iCs/>
      <w:lang w:bidi="en-US"/>
    </w:rPr>
  </w:style>
  <w:style w:type="character" w:styleId="Riferimentointenso">
    <w:name w:val="Intense Reference"/>
    <w:uiPriority w:val="99"/>
    <w:semiHidden/>
    <w:qFormat/>
    <w:rsid w:val="00BE7CE0"/>
    <w:rPr>
      <w:smallCaps/>
      <w:spacing w:val="5"/>
      <w:u w:val="single"/>
    </w:rPr>
  </w:style>
  <w:style w:type="paragraph" w:styleId="Paragrafoelenco">
    <w:name w:val="List Paragraph"/>
    <w:basedOn w:val="Normale"/>
    <w:uiPriority w:val="99"/>
    <w:semiHidden/>
    <w:qFormat/>
    <w:rsid w:val="00BE7CE0"/>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BE7CE0"/>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BE7CE0"/>
    <w:rPr>
      <w:rFonts w:eastAsiaTheme="minorEastAsia"/>
      <w:i/>
      <w:iCs/>
      <w:lang w:bidi="en-US"/>
    </w:rPr>
  </w:style>
  <w:style w:type="character" w:styleId="Riferimentodelicato">
    <w:name w:val="Subtle Reference"/>
    <w:uiPriority w:val="99"/>
    <w:semiHidden/>
    <w:qFormat/>
    <w:rsid w:val="00BE7CE0"/>
    <w:rPr>
      <w:smallCaps/>
    </w:rPr>
  </w:style>
  <w:style w:type="table" w:styleId="Grigliatabella">
    <w:name w:val="Table Grid"/>
    <w:basedOn w:val="Tabellanormale"/>
    <w:uiPriority w:val="59"/>
    <w:semiHidden/>
    <w:rsid w:val="00BE7CE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BE7CE0"/>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BE7CE0"/>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BE7CE0"/>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BE7CE0"/>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BE7CE0"/>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BE7CE0"/>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BE7CE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character" w:customStyle="1" w:styleId="SottotitoloCarattere">
    <w:name w:val="Sottotitolo Carattere"/>
    <w:basedOn w:val="Carpredefinitoparagrafo"/>
    <w:link w:val="Sottotitolo"/>
    <w:uiPriority w:val="99"/>
    <w:semiHidden/>
    <w:rsid w:val="00BE7CE0"/>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unhideWhenUsed/>
    <w:rsid w:val="002D2C99"/>
    <w:pPr>
      <w:numPr>
        <w:numId w:val="9"/>
      </w:numPr>
    </w:pPr>
  </w:style>
  <w:style w:type="numbering" w:styleId="1ai">
    <w:name w:val="Outline List 1"/>
    <w:basedOn w:val="Nessunelenco"/>
    <w:uiPriority w:val="99"/>
    <w:semiHidden/>
    <w:unhideWhenUsed/>
    <w:rsid w:val="002D2C99"/>
    <w:pPr>
      <w:numPr>
        <w:numId w:val="10"/>
      </w:numPr>
    </w:pPr>
  </w:style>
  <w:style w:type="paragraph" w:customStyle="1" w:styleId="ECHRPara">
    <w:name w:val="ECHR_Para"/>
    <w:aliases w:val="Ju_Para"/>
    <w:basedOn w:val="Normale"/>
    <w:link w:val="ECHRParaChar"/>
    <w:uiPriority w:val="12"/>
    <w:qFormat/>
    <w:rsid w:val="00BE7CE0"/>
    <w:pPr>
      <w:ind w:firstLine="284"/>
    </w:pPr>
  </w:style>
  <w:style w:type="numbering" w:styleId="ArticoloSezione">
    <w:name w:val="Outline List 3"/>
    <w:basedOn w:val="Nessunelenco"/>
    <w:uiPriority w:val="99"/>
    <w:semiHidden/>
    <w:unhideWhenUsed/>
    <w:rsid w:val="002D2C99"/>
    <w:pPr>
      <w:numPr>
        <w:numId w:val="11"/>
      </w:numPr>
    </w:p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fia">
    <w:name w:val="Bibliography"/>
    <w:basedOn w:val="Normale"/>
    <w:next w:val="Normale"/>
    <w:uiPriority w:val="99"/>
    <w:semiHidden/>
    <w:rsid w:val="002D2C99"/>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BE7CE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Testodelblocco">
    <w:name w:val="Block Text"/>
    <w:basedOn w:val="Normale"/>
    <w:uiPriority w:val="99"/>
    <w:semiHidden/>
    <w:rsid w:val="002D2C9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Corpotesto">
    <w:name w:val="Body Text"/>
    <w:basedOn w:val="Normale"/>
    <w:link w:val="CorpotestoCarattere"/>
    <w:uiPriority w:val="99"/>
    <w:semiHidden/>
    <w:rsid w:val="002D2C99"/>
    <w:pPr>
      <w:spacing w:after="120"/>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CorpotestoCarattere">
    <w:name w:val="Corpo testo Carattere"/>
    <w:basedOn w:val="Carpredefinitoparagrafo"/>
    <w:link w:val="Corpotesto"/>
    <w:uiPriority w:val="99"/>
    <w:semiHidden/>
    <w:rsid w:val="002D2C99"/>
    <w:rPr>
      <w:rFonts w:eastAsiaTheme="minorEastAsia"/>
      <w:sz w:val="24"/>
    </w:rPr>
  </w:style>
  <w:style w:type="paragraph" w:styleId="Corpodeltesto2">
    <w:name w:val="Body Text 2"/>
    <w:basedOn w:val="Normale"/>
    <w:link w:val="Corpodeltesto2Carattere"/>
    <w:uiPriority w:val="99"/>
    <w:semiHidden/>
    <w:rsid w:val="002D2C99"/>
    <w:pPr>
      <w:spacing w:after="120" w:line="480" w:lineRule="auto"/>
    </w:p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BE7CE0"/>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e"/>
    <w:next w:val="ECHRPara"/>
    <w:uiPriority w:val="10"/>
    <w:rsid w:val="00BE7CE0"/>
    <w:pPr>
      <w:ind w:firstLine="284"/>
    </w:pPr>
    <w:rPr>
      <w:b/>
    </w:rPr>
  </w:style>
  <w:style w:type="character" w:styleId="Numeropagina">
    <w:name w:val="page number"/>
    <w:uiPriority w:val="99"/>
    <w:semiHidden/>
    <w:rsid w:val="002D2C99"/>
    <w:rPr>
      <w:rFonts w:ascii="Times New Roman" w:hAnsi="Times New Roman" w:cs="Times New Roman"/>
      <w:sz w:val="18"/>
    </w:rPr>
  </w:style>
  <w:style w:type="paragraph" w:styleId="Puntoelenco2">
    <w:name w:val="List Bullet 2"/>
    <w:basedOn w:val="Normale"/>
    <w:uiPriority w:val="99"/>
    <w:semiHidden/>
    <w:rsid w:val="002D2C99"/>
    <w:pPr>
      <w:numPr>
        <w:numId w:val="8"/>
      </w:numPr>
      <w:contextualSpacing/>
    </w:pPr>
  </w:style>
  <w:style w:type="character" w:customStyle="1" w:styleId="Corpodeltesto2Carattere">
    <w:name w:val="Corpo del testo 2 Carattere"/>
    <w:basedOn w:val="Carpredefinitoparagrafo"/>
    <w:link w:val="Corpodeltesto2"/>
    <w:uiPriority w:val="99"/>
    <w:semiHidden/>
    <w:rsid w:val="002D2C99"/>
    <w:rPr>
      <w:rFonts w:eastAsiaTheme="minorEastAsia"/>
      <w:sz w:val="24"/>
    </w:rPr>
  </w:style>
  <w:style w:type="paragraph" w:styleId="Corpodeltesto3">
    <w:name w:val="Body Text 3"/>
    <w:basedOn w:val="Normale"/>
    <w:link w:val="Corpodeltesto3Carattere"/>
    <w:uiPriority w:val="99"/>
    <w:semiHidden/>
    <w:rsid w:val="002D2C9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D2C99"/>
    <w:rPr>
      <w:rFonts w:eastAsiaTheme="minorEastAsia"/>
      <w:sz w:val="16"/>
      <w:szCs w:val="16"/>
    </w:rPr>
  </w:style>
  <w:style w:type="paragraph" w:styleId="Primorientrocorpodeltesto">
    <w:name w:val="Body Text First Indent"/>
    <w:basedOn w:val="Corpotesto"/>
    <w:link w:val="PrimorientrocorpodeltestoCarattere"/>
    <w:uiPriority w:val="99"/>
    <w:semiHidden/>
    <w:rsid w:val="002D2C9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2D2C99"/>
    <w:rPr>
      <w:rFonts w:eastAsiaTheme="minorEastAsia"/>
      <w:sz w:val="24"/>
    </w:rPr>
  </w:style>
  <w:style w:type="paragraph" w:styleId="Rientrocorpodeltesto">
    <w:name w:val="Body Text Indent"/>
    <w:basedOn w:val="Normale"/>
    <w:link w:val="RientrocorpodeltestoCarattere"/>
    <w:uiPriority w:val="99"/>
    <w:semiHidden/>
    <w:rsid w:val="002D2C9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D2C99"/>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2D2C9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2D2C99"/>
    <w:rPr>
      <w:rFonts w:eastAsiaTheme="minorEastAsia"/>
      <w:sz w:val="24"/>
    </w:rPr>
  </w:style>
  <w:style w:type="paragraph" w:styleId="Rientrocorpodeltesto2">
    <w:name w:val="Body Text Indent 2"/>
    <w:basedOn w:val="Normale"/>
    <w:link w:val="Rientrocorpodeltesto2Carattere"/>
    <w:uiPriority w:val="99"/>
    <w:semiHidden/>
    <w:rsid w:val="002D2C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D2C99"/>
    <w:rPr>
      <w:rFonts w:eastAsiaTheme="minorEastAsia"/>
      <w:sz w:val="24"/>
    </w:rPr>
  </w:style>
  <w:style w:type="paragraph" w:styleId="Rientrocorpodeltesto3">
    <w:name w:val="Body Text Indent 3"/>
    <w:basedOn w:val="Normale"/>
    <w:link w:val="Rientrocorpodeltesto3Carattere"/>
    <w:uiPriority w:val="99"/>
    <w:semiHidden/>
    <w:rsid w:val="002D2C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D2C99"/>
    <w:rPr>
      <w:rFonts w:eastAsiaTheme="minorEastAsia"/>
      <w:sz w:val="16"/>
      <w:szCs w:val="16"/>
    </w:rPr>
  </w:style>
  <w:style w:type="paragraph" w:styleId="Didascalia">
    <w:name w:val="caption"/>
    <w:basedOn w:val="Normale"/>
    <w:next w:val="Normale"/>
    <w:uiPriority w:val="99"/>
    <w:semiHidden/>
    <w:qFormat/>
    <w:rsid w:val="002D2C9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2D2C99"/>
    <w:pPr>
      <w:ind w:left="4252"/>
    </w:pPr>
  </w:style>
  <w:style w:type="character" w:customStyle="1" w:styleId="FormuladichiusuraCarattere">
    <w:name w:val="Formula di chiusura Carattere"/>
    <w:basedOn w:val="Carpredefinitoparagrafo"/>
    <w:link w:val="Formuladichiusura"/>
    <w:uiPriority w:val="99"/>
    <w:semiHidden/>
    <w:rsid w:val="002D2C99"/>
    <w:rPr>
      <w:rFonts w:eastAsiaTheme="minorEastAsia"/>
      <w:sz w:val="24"/>
    </w:rPr>
  </w:style>
  <w:style w:type="table" w:styleId="Grigliaacolori">
    <w:name w:val="Colorful Grid"/>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D2C9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D2C9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D2C9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D2C9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D2C9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D2C9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D2C9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D2C9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D2C9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D2C9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D2C9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D2C9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D2C9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D2C9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rsid w:val="002D2C99"/>
    <w:rPr>
      <w:sz w:val="16"/>
      <w:szCs w:val="16"/>
    </w:rPr>
  </w:style>
  <w:style w:type="paragraph" w:styleId="Testocommento">
    <w:name w:val="annotation text"/>
    <w:basedOn w:val="Normale"/>
    <w:link w:val="TestocommentoCarattere"/>
    <w:semiHidden/>
    <w:rsid w:val="002D2C99"/>
    <w:rPr>
      <w:sz w:val="20"/>
      <w:szCs w:val="20"/>
    </w:rPr>
  </w:style>
  <w:style w:type="character" w:customStyle="1" w:styleId="TestocommentoCarattere">
    <w:name w:val="Testo commento Carattere"/>
    <w:basedOn w:val="Carpredefinitoparagrafo"/>
    <w:link w:val="Testocommento"/>
    <w:semiHidden/>
    <w:rsid w:val="002D2C99"/>
    <w:rPr>
      <w:rFonts w:eastAsiaTheme="minorEastAsia"/>
      <w:sz w:val="20"/>
      <w:szCs w:val="20"/>
    </w:rPr>
  </w:style>
  <w:style w:type="paragraph" w:styleId="Soggettocommento">
    <w:name w:val="annotation subject"/>
    <w:basedOn w:val="Testocommento"/>
    <w:next w:val="Testocommento"/>
    <w:link w:val="SoggettocommentoCarattere"/>
    <w:uiPriority w:val="99"/>
    <w:semiHidden/>
    <w:rsid w:val="002D2C99"/>
    <w:rPr>
      <w:b/>
      <w:bCs/>
    </w:rPr>
  </w:style>
  <w:style w:type="character" w:customStyle="1" w:styleId="SoggettocommentoCarattere">
    <w:name w:val="Soggetto commento Carattere"/>
    <w:basedOn w:val="TestocommentoCarattere"/>
    <w:link w:val="Soggettocommento"/>
    <w:uiPriority w:val="99"/>
    <w:semiHidden/>
    <w:rsid w:val="002D2C99"/>
    <w:rPr>
      <w:rFonts w:eastAsiaTheme="minorEastAsia"/>
      <w:b/>
      <w:bCs/>
      <w:sz w:val="20"/>
      <w:szCs w:val="20"/>
    </w:rPr>
  </w:style>
  <w:style w:type="table" w:styleId="Elencoscuro">
    <w:name w:val="Dark List"/>
    <w:basedOn w:val="Tabellanormale"/>
    <w:uiPriority w:val="70"/>
    <w:semiHidden/>
    <w:rsid w:val="002D2C9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D2C9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D2C9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D2C9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D2C9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D2C9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D2C9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2D2C99"/>
  </w:style>
  <w:style w:type="character" w:customStyle="1" w:styleId="DataCarattere">
    <w:name w:val="Data Carattere"/>
    <w:basedOn w:val="Carpredefinitoparagrafo"/>
    <w:link w:val="Data"/>
    <w:uiPriority w:val="99"/>
    <w:semiHidden/>
    <w:rsid w:val="002D2C99"/>
    <w:rPr>
      <w:rFonts w:eastAsiaTheme="minorEastAsia"/>
      <w:sz w:val="24"/>
    </w:rPr>
  </w:style>
  <w:style w:type="paragraph" w:styleId="Mappadocumento">
    <w:name w:val="Document Map"/>
    <w:basedOn w:val="Normale"/>
    <w:link w:val="MappadocumentoCarattere"/>
    <w:uiPriority w:val="99"/>
    <w:semiHidden/>
    <w:rsid w:val="002D2C9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2D2C99"/>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2D2C99"/>
  </w:style>
  <w:style w:type="character" w:customStyle="1" w:styleId="FirmadipostaelettronicaCarattere">
    <w:name w:val="Firma di posta elettronica Carattere"/>
    <w:basedOn w:val="Carpredefinitoparagrafo"/>
    <w:link w:val="Firmadipostaelettronica"/>
    <w:uiPriority w:val="99"/>
    <w:semiHidden/>
    <w:rsid w:val="002D2C99"/>
    <w:rPr>
      <w:rFonts w:eastAsiaTheme="minorEastAsia"/>
      <w:sz w:val="24"/>
    </w:rPr>
  </w:style>
  <w:style w:type="character" w:styleId="Rimandonotadichiusura">
    <w:name w:val="endnote reference"/>
    <w:basedOn w:val="Carpredefinitoparagrafo"/>
    <w:uiPriority w:val="99"/>
    <w:semiHidden/>
    <w:rsid w:val="002D2C99"/>
    <w:rPr>
      <w:vertAlign w:val="superscript"/>
    </w:rPr>
  </w:style>
  <w:style w:type="paragraph" w:styleId="Testonotadichiusura">
    <w:name w:val="endnote text"/>
    <w:basedOn w:val="Normale"/>
    <w:link w:val="TestonotadichiusuraCarattere"/>
    <w:uiPriority w:val="99"/>
    <w:semiHidden/>
    <w:rsid w:val="002D2C99"/>
    <w:rPr>
      <w:sz w:val="20"/>
      <w:szCs w:val="20"/>
    </w:rPr>
  </w:style>
  <w:style w:type="character" w:customStyle="1" w:styleId="TestonotadichiusuraCarattere">
    <w:name w:val="Testo nota di chiusura Carattere"/>
    <w:basedOn w:val="Carpredefinitoparagrafo"/>
    <w:link w:val="Testonotadichiusura"/>
    <w:uiPriority w:val="99"/>
    <w:semiHidden/>
    <w:rsid w:val="002D2C99"/>
    <w:rPr>
      <w:rFonts w:eastAsiaTheme="minorEastAsia"/>
      <w:sz w:val="20"/>
      <w:szCs w:val="20"/>
    </w:rPr>
  </w:style>
  <w:style w:type="paragraph" w:styleId="Indirizzodestinatario">
    <w:name w:val="envelope address"/>
    <w:basedOn w:val="Normale"/>
    <w:uiPriority w:val="99"/>
    <w:semiHidden/>
    <w:rsid w:val="002D2C9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2D2C9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2D2C99"/>
    <w:rPr>
      <w:color w:val="7030A0" w:themeColor="followedHyperlink"/>
      <w:u w:val="single"/>
    </w:rPr>
  </w:style>
  <w:style w:type="character" w:styleId="AcronimoHTML">
    <w:name w:val="HTML Acronym"/>
    <w:basedOn w:val="Carpredefinitoparagrafo"/>
    <w:uiPriority w:val="99"/>
    <w:semiHidden/>
    <w:rsid w:val="002D2C99"/>
  </w:style>
  <w:style w:type="paragraph" w:styleId="IndirizzoHTML">
    <w:name w:val="HTML Address"/>
    <w:basedOn w:val="Normale"/>
    <w:link w:val="IndirizzoHTMLCarattere"/>
    <w:uiPriority w:val="99"/>
    <w:semiHidden/>
    <w:rsid w:val="002D2C99"/>
    <w:rPr>
      <w:i/>
      <w:iCs/>
    </w:rPr>
  </w:style>
  <w:style w:type="character" w:customStyle="1" w:styleId="IndirizzoHTMLCarattere">
    <w:name w:val="Indirizzo HTML Carattere"/>
    <w:basedOn w:val="Carpredefinitoparagrafo"/>
    <w:link w:val="IndirizzoHTML"/>
    <w:uiPriority w:val="99"/>
    <w:semiHidden/>
    <w:rsid w:val="002D2C99"/>
    <w:rPr>
      <w:rFonts w:eastAsiaTheme="minorEastAsia"/>
      <w:i/>
      <w:iCs/>
      <w:sz w:val="24"/>
    </w:rPr>
  </w:style>
  <w:style w:type="character" w:styleId="CitazioneHTML">
    <w:name w:val="HTML Cite"/>
    <w:basedOn w:val="Carpredefinitoparagrafo"/>
    <w:uiPriority w:val="99"/>
    <w:semiHidden/>
    <w:rsid w:val="002D2C99"/>
    <w:rPr>
      <w:i/>
      <w:iCs/>
    </w:rPr>
  </w:style>
  <w:style w:type="character" w:styleId="CodiceHTML">
    <w:name w:val="HTML Code"/>
    <w:basedOn w:val="Carpredefinitoparagrafo"/>
    <w:uiPriority w:val="99"/>
    <w:semiHidden/>
    <w:rsid w:val="002D2C99"/>
    <w:rPr>
      <w:rFonts w:ascii="Consolas" w:hAnsi="Consolas" w:cs="Consolas"/>
      <w:sz w:val="20"/>
      <w:szCs w:val="20"/>
    </w:rPr>
  </w:style>
  <w:style w:type="character" w:styleId="DefinizioneHTML">
    <w:name w:val="HTML Definition"/>
    <w:basedOn w:val="Carpredefinitoparagrafo"/>
    <w:uiPriority w:val="99"/>
    <w:semiHidden/>
    <w:rsid w:val="002D2C99"/>
    <w:rPr>
      <w:i/>
      <w:iCs/>
    </w:rPr>
  </w:style>
  <w:style w:type="character" w:styleId="TastieraHTML">
    <w:name w:val="HTML Keyboard"/>
    <w:basedOn w:val="Carpredefinitoparagrafo"/>
    <w:uiPriority w:val="99"/>
    <w:semiHidden/>
    <w:rsid w:val="002D2C99"/>
    <w:rPr>
      <w:rFonts w:ascii="Consolas" w:hAnsi="Consolas" w:cs="Consolas"/>
      <w:sz w:val="20"/>
      <w:szCs w:val="20"/>
    </w:rPr>
  </w:style>
  <w:style w:type="paragraph" w:styleId="PreformattatoHTML">
    <w:name w:val="HTML Preformatted"/>
    <w:basedOn w:val="Normale"/>
    <w:link w:val="PreformattatoHTMLCarattere"/>
    <w:uiPriority w:val="99"/>
    <w:semiHidden/>
    <w:rsid w:val="002D2C9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2D2C99"/>
    <w:rPr>
      <w:rFonts w:ascii="Consolas" w:eastAsiaTheme="minorEastAsia" w:hAnsi="Consolas" w:cs="Consolas"/>
      <w:sz w:val="20"/>
      <w:szCs w:val="20"/>
    </w:rPr>
  </w:style>
  <w:style w:type="character" w:styleId="EsempioHTML">
    <w:name w:val="HTML Sample"/>
    <w:basedOn w:val="Carpredefinitoparagrafo"/>
    <w:uiPriority w:val="99"/>
    <w:semiHidden/>
    <w:rsid w:val="002D2C99"/>
    <w:rPr>
      <w:rFonts w:ascii="Consolas" w:hAnsi="Consolas" w:cs="Consolas"/>
      <w:sz w:val="24"/>
      <w:szCs w:val="24"/>
    </w:rPr>
  </w:style>
  <w:style w:type="character" w:styleId="MacchinadascrivereHTML">
    <w:name w:val="HTML Typewriter"/>
    <w:basedOn w:val="Carpredefinitoparagrafo"/>
    <w:uiPriority w:val="99"/>
    <w:semiHidden/>
    <w:rsid w:val="002D2C99"/>
    <w:rPr>
      <w:rFonts w:ascii="Consolas" w:hAnsi="Consolas" w:cs="Consolas"/>
      <w:sz w:val="20"/>
      <w:szCs w:val="20"/>
    </w:rPr>
  </w:style>
  <w:style w:type="character" w:styleId="VariabileHTML">
    <w:name w:val="HTML Variable"/>
    <w:basedOn w:val="Carpredefinitoparagrafo"/>
    <w:uiPriority w:val="99"/>
    <w:semiHidden/>
    <w:rsid w:val="002D2C99"/>
    <w:rPr>
      <w:i/>
      <w:iCs/>
    </w:rPr>
  </w:style>
  <w:style w:type="paragraph" w:styleId="Indice1">
    <w:name w:val="index 1"/>
    <w:basedOn w:val="Normale"/>
    <w:next w:val="Normale"/>
    <w:autoRedefine/>
    <w:uiPriority w:val="99"/>
    <w:semiHidden/>
    <w:rsid w:val="002D2C99"/>
    <w:pPr>
      <w:ind w:left="240" w:hanging="240"/>
    </w:pPr>
  </w:style>
  <w:style w:type="paragraph" w:styleId="Indice2">
    <w:name w:val="index 2"/>
    <w:basedOn w:val="Normale"/>
    <w:next w:val="Normale"/>
    <w:autoRedefine/>
    <w:uiPriority w:val="99"/>
    <w:semiHidden/>
    <w:rsid w:val="002D2C99"/>
    <w:pPr>
      <w:ind w:left="480" w:hanging="240"/>
    </w:pPr>
  </w:style>
  <w:style w:type="paragraph" w:styleId="Indice3">
    <w:name w:val="index 3"/>
    <w:basedOn w:val="Normale"/>
    <w:next w:val="Normale"/>
    <w:autoRedefine/>
    <w:uiPriority w:val="99"/>
    <w:semiHidden/>
    <w:rsid w:val="002D2C99"/>
    <w:pPr>
      <w:ind w:left="720" w:hanging="240"/>
    </w:pPr>
  </w:style>
  <w:style w:type="paragraph" w:styleId="Indice4">
    <w:name w:val="index 4"/>
    <w:basedOn w:val="Normale"/>
    <w:next w:val="Normale"/>
    <w:autoRedefine/>
    <w:uiPriority w:val="99"/>
    <w:semiHidden/>
    <w:rsid w:val="002D2C99"/>
    <w:pPr>
      <w:ind w:left="960" w:hanging="240"/>
    </w:pPr>
  </w:style>
  <w:style w:type="paragraph" w:styleId="Indice5">
    <w:name w:val="index 5"/>
    <w:basedOn w:val="Normale"/>
    <w:next w:val="Normale"/>
    <w:autoRedefine/>
    <w:uiPriority w:val="99"/>
    <w:semiHidden/>
    <w:rsid w:val="002D2C99"/>
    <w:pPr>
      <w:ind w:left="1200" w:hanging="240"/>
    </w:pPr>
  </w:style>
  <w:style w:type="paragraph" w:styleId="Indice6">
    <w:name w:val="index 6"/>
    <w:basedOn w:val="Normale"/>
    <w:next w:val="Normale"/>
    <w:autoRedefine/>
    <w:uiPriority w:val="99"/>
    <w:semiHidden/>
    <w:rsid w:val="002D2C99"/>
    <w:pPr>
      <w:ind w:left="1440" w:hanging="240"/>
    </w:pPr>
  </w:style>
  <w:style w:type="paragraph" w:styleId="Indice7">
    <w:name w:val="index 7"/>
    <w:basedOn w:val="Normale"/>
    <w:next w:val="Normale"/>
    <w:autoRedefine/>
    <w:uiPriority w:val="99"/>
    <w:semiHidden/>
    <w:rsid w:val="002D2C99"/>
    <w:pPr>
      <w:ind w:left="1680" w:hanging="240"/>
    </w:pPr>
  </w:style>
  <w:style w:type="paragraph" w:styleId="Indice8">
    <w:name w:val="index 8"/>
    <w:basedOn w:val="Normale"/>
    <w:next w:val="Normale"/>
    <w:autoRedefine/>
    <w:uiPriority w:val="99"/>
    <w:semiHidden/>
    <w:rsid w:val="002D2C99"/>
    <w:pPr>
      <w:ind w:left="1920" w:hanging="240"/>
    </w:pPr>
  </w:style>
  <w:style w:type="paragraph" w:styleId="Indice9">
    <w:name w:val="index 9"/>
    <w:basedOn w:val="Normale"/>
    <w:next w:val="Normale"/>
    <w:autoRedefine/>
    <w:uiPriority w:val="99"/>
    <w:semiHidden/>
    <w:rsid w:val="002D2C99"/>
    <w:pPr>
      <w:ind w:left="2160" w:hanging="240"/>
    </w:pPr>
  </w:style>
  <w:style w:type="paragraph" w:styleId="Titoloindice">
    <w:name w:val="index heading"/>
    <w:basedOn w:val="Normale"/>
    <w:next w:val="Indice1"/>
    <w:uiPriority w:val="99"/>
    <w:semiHidden/>
    <w:rsid w:val="002D2C99"/>
    <w:rPr>
      <w:rFonts w:asciiTheme="majorHAnsi" w:eastAsiaTheme="majorEastAsia" w:hAnsiTheme="majorHAnsi" w:cstheme="majorBidi"/>
      <w:b/>
      <w:bCs/>
    </w:rPr>
  </w:style>
  <w:style w:type="table" w:styleId="Grigliachiara">
    <w:name w:val="Light Grid"/>
    <w:basedOn w:val="Tabellanormale"/>
    <w:uiPriority w:val="62"/>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D2C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D2C9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D2C9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D2C9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D2C9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D2C9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D2C9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2D2C99"/>
  </w:style>
  <w:style w:type="paragraph" w:styleId="Elenco">
    <w:name w:val="List"/>
    <w:basedOn w:val="Normale"/>
    <w:uiPriority w:val="99"/>
    <w:semiHidden/>
    <w:rsid w:val="002D2C99"/>
    <w:pPr>
      <w:ind w:left="283" w:hanging="283"/>
      <w:contextualSpacing/>
    </w:pPr>
  </w:style>
  <w:style w:type="paragraph" w:styleId="Elenco2">
    <w:name w:val="List 2"/>
    <w:basedOn w:val="Normale"/>
    <w:uiPriority w:val="99"/>
    <w:semiHidden/>
    <w:rsid w:val="002D2C99"/>
    <w:pPr>
      <w:ind w:left="566" w:hanging="283"/>
      <w:contextualSpacing/>
    </w:pPr>
  </w:style>
  <w:style w:type="paragraph" w:styleId="Elenco3">
    <w:name w:val="List 3"/>
    <w:basedOn w:val="Normale"/>
    <w:uiPriority w:val="99"/>
    <w:semiHidden/>
    <w:rsid w:val="002D2C99"/>
    <w:pPr>
      <w:ind w:left="849" w:hanging="283"/>
      <w:contextualSpacing/>
    </w:pPr>
  </w:style>
  <w:style w:type="paragraph" w:styleId="Elenco4">
    <w:name w:val="List 4"/>
    <w:basedOn w:val="Normale"/>
    <w:uiPriority w:val="99"/>
    <w:semiHidden/>
    <w:rsid w:val="002D2C99"/>
    <w:pPr>
      <w:ind w:left="1132" w:hanging="283"/>
      <w:contextualSpacing/>
    </w:pPr>
  </w:style>
  <w:style w:type="paragraph" w:styleId="Elenco5">
    <w:name w:val="List 5"/>
    <w:basedOn w:val="Normale"/>
    <w:uiPriority w:val="99"/>
    <w:semiHidden/>
    <w:rsid w:val="002D2C99"/>
    <w:pPr>
      <w:ind w:left="1415" w:hanging="283"/>
      <w:contextualSpacing/>
    </w:pPr>
  </w:style>
  <w:style w:type="paragraph" w:styleId="Puntoelenco">
    <w:name w:val="List Bullet"/>
    <w:basedOn w:val="Normale"/>
    <w:uiPriority w:val="99"/>
    <w:semiHidden/>
    <w:rsid w:val="002D2C99"/>
    <w:pPr>
      <w:numPr>
        <w:numId w:val="12"/>
      </w:numPr>
      <w:contextualSpacing/>
    </w:pPr>
  </w:style>
  <w:style w:type="paragraph" w:styleId="Puntoelenco3">
    <w:name w:val="List Bullet 3"/>
    <w:basedOn w:val="Normale"/>
    <w:uiPriority w:val="99"/>
    <w:semiHidden/>
    <w:rsid w:val="002D2C99"/>
    <w:pPr>
      <w:numPr>
        <w:numId w:val="13"/>
      </w:numPr>
      <w:contextualSpacing/>
    </w:pPr>
  </w:style>
  <w:style w:type="paragraph" w:styleId="Puntoelenco4">
    <w:name w:val="List Bullet 4"/>
    <w:basedOn w:val="Normale"/>
    <w:uiPriority w:val="99"/>
    <w:semiHidden/>
    <w:rsid w:val="002D2C99"/>
    <w:pPr>
      <w:numPr>
        <w:numId w:val="14"/>
      </w:numPr>
      <w:contextualSpacing/>
    </w:pPr>
  </w:style>
  <w:style w:type="paragraph" w:styleId="Puntoelenco5">
    <w:name w:val="List Bullet 5"/>
    <w:basedOn w:val="Normale"/>
    <w:uiPriority w:val="99"/>
    <w:semiHidden/>
    <w:rsid w:val="002D2C99"/>
    <w:pPr>
      <w:numPr>
        <w:numId w:val="15"/>
      </w:numPr>
      <w:contextualSpacing/>
    </w:pPr>
  </w:style>
  <w:style w:type="paragraph" w:styleId="Elencocontinua">
    <w:name w:val="List Continue"/>
    <w:basedOn w:val="Normale"/>
    <w:uiPriority w:val="99"/>
    <w:semiHidden/>
    <w:rsid w:val="002D2C99"/>
    <w:pPr>
      <w:spacing w:after="120"/>
      <w:ind w:left="283"/>
      <w:contextualSpacing/>
    </w:pPr>
  </w:style>
  <w:style w:type="paragraph" w:styleId="Elencocontinua2">
    <w:name w:val="List Continue 2"/>
    <w:basedOn w:val="Normale"/>
    <w:uiPriority w:val="99"/>
    <w:semiHidden/>
    <w:rsid w:val="002D2C99"/>
    <w:pPr>
      <w:spacing w:after="120"/>
      <w:ind w:left="566"/>
      <w:contextualSpacing/>
    </w:pPr>
  </w:style>
  <w:style w:type="paragraph" w:styleId="Elencocontinua3">
    <w:name w:val="List Continue 3"/>
    <w:basedOn w:val="Normale"/>
    <w:uiPriority w:val="99"/>
    <w:semiHidden/>
    <w:rsid w:val="002D2C99"/>
    <w:pPr>
      <w:spacing w:after="120"/>
      <w:ind w:left="849"/>
      <w:contextualSpacing/>
    </w:pPr>
  </w:style>
  <w:style w:type="paragraph" w:styleId="Elencocontinua4">
    <w:name w:val="List Continue 4"/>
    <w:basedOn w:val="Normale"/>
    <w:uiPriority w:val="99"/>
    <w:semiHidden/>
    <w:rsid w:val="002D2C99"/>
    <w:pPr>
      <w:spacing w:after="120"/>
      <w:ind w:left="1132"/>
      <w:contextualSpacing/>
    </w:pPr>
  </w:style>
  <w:style w:type="paragraph" w:styleId="Elencocontinua5">
    <w:name w:val="List Continue 5"/>
    <w:basedOn w:val="Normale"/>
    <w:uiPriority w:val="99"/>
    <w:semiHidden/>
    <w:rsid w:val="002D2C99"/>
    <w:pPr>
      <w:spacing w:after="120"/>
      <w:ind w:left="1415"/>
      <w:contextualSpacing/>
    </w:pPr>
  </w:style>
  <w:style w:type="paragraph" w:styleId="Numeroelenco">
    <w:name w:val="List Number"/>
    <w:basedOn w:val="Normale"/>
    <w:uiPriority w:val="99"/>
    <w:semiHidden/>
    <w:rsid w:val="002D2C99"/>
    <w:pPr>
      <w:numPr>
        <w:numId w:val="16"/>
      </w:numPr>
      <w:contextualSpacing/>
    </w:pPr>
  </w:style>
  <w:style w:type="paragraph" w:styleId="Numeroelenco2">
    <w:name w:val="List Number 2"/>
    <w:basedOn w:val="Normale"/>
    <w:uiPriority w:val="99"/>
    <w:semiHidden/>
    <w:rsid w:val="002D2C99"/>
    <w:pPr>
      <w:numPr>
        <w:numId w:val="17"/>
      </w:numPr>
      <w:contextualSpacing/>
    </w:pPr>
  </w:style>
  <w:style w:type="paragraph" w:styleId="Numeroelenco3">
    <w:name w:val="List Number 3"/>
    <w:basedOn w:val="Normale"/>
    <w:uiPriority w:val="99"/>
    <w:semiHidden/>
    <w:rsid w:val="002D2C99"/>
    <w:pPr>
      <w:numPr>
        <w:numId w:val="18"/>
      </w:numPr>
      <w:contextualSpacing/>
    </w:pPr>
  </w:style>
  <w:style w:type="paragraph" w:styleId="Numeroelenco4">
    <w:name w:val="List Number 4"/>
    <w:basedOn w:val="Normale"/>
    <w:uiPriority w:val="99"/>
    <w:semiHidden/>
    <w:rsid w:val="002D2C99"/>
    <w:pPr>
      <w:numPr>
        <w:numId w:val="19"/>
      </w:numPr>
      <w:contextualSpacing/>
    </w:pPr>
  </w:style>
  <w:style w:type="paragraph" w:styleId="Numeroelenco5">
    <w:name w:val="List Number 5"/>
    <w:basedOn w:val="Normale"/>
    <w:uiPriority w:val="99"/>
    <w:semiHidden/>
    <w:rsid w:val="002D2C99"/>
    <w:pPr>
      <w:numPr>
        <w:numId w:val="20"/>
      </w:numPr>
      <w:contextualSpacing/>
    </w:pPr>
  </w:style>
  <w:style w:type="paragraph" w:styleId="Testomacro">
    <w:name w:val="macro"/>
    <w:link w:val="TestomacroCarattere"/>
    <w:uiPriority w:val="99"/>
    <w:semiHidden/>
    <w:rsid w:val="002D2C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2D2C99"/>
    <w:rPr>
      <w:rFonts w:ascii="Consolas" w:eastAsiaTheme="minorEastAsia" w:hAnsi="Consolas" w:cs="Consolas"/>
      <w:sz w:val="20"/>
      <w:szCs w:val="20"/>
    </w:rPr>
  </w:style>
  <w:style w:type="table" w:styleId="Grigliamedia1">
    <w:name w:val="Medium Grid 1"/>
    <w:basedOn w:val="Tabellanormale"/>
    <w:uiPriority w:val="67"/>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D2C9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D2C9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D2C9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D2C9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D2C9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D2C9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D2C9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2D2C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2D2C99"/>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2D2C99"/>
    <w:rPr>
      <w:rFonts w:ascii="Times New Roman" w:hAnsi="Times New Roman" w:cs="Times New Roman"/>
      <w:szCs w:val="24"/>
    </w:rPr>
  </w:style>
  <w:style w:type="paragraph" w:styleId="Rientronormale">
    <w:name w:val="Normal Indent"/>
    <w:basedOn w:val="Normale"/>
    <w:uiPriority w:val="99"/>
    <w:semiHidden/>
    <w:rsid w:val="002D2C99"/>
    <w:pPr>
      <w:ind w:left="720"/>
    </w:pPr>
  </w:style>
  <w:style w:type="paragraph" w:styleId="Intestazionenota">
    <w:name w:val="Note Heading"/>
    <w:basedOn w:val="Normale"/>
    <w:next w:val="Normale"/>
    <w:link w:val="IntestazionenotaCarattere"/>
    <w:uiPriority w:val="99"/>
    <w:semiHidden/>
    <w:rsid w:val="002D2C99"/>
  </w:style>
  <w:style w:type="character" w:customStyle="1" w:styleId="IntestazionenotaCarattere">
    <w:name w:val="Intestazione nota Carattere"/>
    <w:basedOn w:val="Carpredefinitoparagrafo"/>
    <w:link w:val="Intestazionenota"/>
    <w:uiPriority w:val="99"/>
    <w:semiHidden/>
    <w:rsid w:val="002D2C99"/>
    <w:rPr>
      <w:rFonts w:eastAsiaTheme="minorEastAsia"/>
      <w:sz w:val="24"/>
    </w:rPr>
  </w:style>
  <w:style w:type="character" w:styleId="Testosegnaposto">
    <w:name w:val="Placeholder Text"/>
    <w:basedOn w:val="Carpredefinitoparagrafo"/>
    <w:uiPriority w:val="99"/>
    <w:semiHidden/>
    <w:rsid w:val="00BE7CE0"/>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2D2C9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2D2C99"/>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2D2C99"/>
  </w:style>
  <w:style w:type="character" w:customStyle="1" w:styleId="FormuladiaperturaCarattere">
    <w:name w:val="Formula di apertura Carattere"/>
    <w:basedOn w:val="Carpredefinitoparagrafo"/>
    <w:link w:val="Formuladiapertura"/>
    <w:uiPriority w:val="99"/>
    <w:semiHidden/>
    <w:rsid w:val="002D2C99"/>
    <w:rPr>
      <w:rFonts w:eastAsiaTheme="minorEastAsia"/>
      <w:sz w:val="24"/>
    </w:rPr>
  </w:style>
  <w:style w:type="paragraph" w:styleId="Firma">
    <w:name w:val="Signature"/>
    <w:basedOn w:val="Normale"/>
    <w:link w:val="FirmaCarattere"/>
    <w:uiPriority w:val="99"/>
    <w:semiHidden/>
    <w:rsid w:val="002D2C99"/>
    <w:pPr>
      <w:ind w:left="4252"/>
    </w:pPr>
  </w:style>
  <w:style w:type="character" w:customStyle="1" w:styleId="FirmaCarattere">
    <w:name w:val="Firma Carattere"/>
    <w:basedOn w:val="Carpredefinitoparagrafo"/>
    <w:link w:val="Firma"/>
    <w:uiPriority w:val="99"/>
    <w:semiHidden/>
    <w:rsid w:val="002D2C99"/>
    <w:rPr>
      <w:rFonts w:eastAsiaTheme="minorEastAsia"/>
      <w:sz w:val="24"/>
    </w:rPr>
  </w:style>
  <w:style w:type="table" w:styleId="Tabellaeffetti3D1">
    <w:name w:val="Table 3D effects 1"/>
    <w:basedOn w:val="Tabellanormale"/>
    <w:uiPriority w:val="99"/>
    <w:semiHidden/>
    <w:unhideWhenUsed/>
    <w:rsid w:val="002D2C9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D2C9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D2C9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D2C9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D2C9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D2C9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D2C9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D2C9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D2C9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D2C9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D2C9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D2C9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D2C9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D2C9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D2C9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D2C9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D2C9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D2C9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D2C9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D2C9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D2C9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D2C9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D2C9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D2C9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2D2C99"/>
    <w:pPr>
      <w:ind w:left="240" w:hanging="240"/>
    </w:pPr>
  </w:style>
  <w:style w:type="paragraph" w:styleId="Indicedellefigure">
    <w:name w:val="table of figures"/>
    <w:basedOn w:val="Normale"/>
    <w:next w:val="Normale"/>
    <w:uiPriority w:val="99"/>
    <w:semiHidden/>
    <w:rsid w:val="002D2C99"/>
  </w:style>
  <w:style w:type="table" w:styleId="Tabellaprofessionale">
    <w:name w:val="Table Professional"/>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D2C9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D2C9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D2C9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D2C9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D2C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D2C9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D2C9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D2C9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BE7CE0"/>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BE7CE0"/>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2D2C99"/>
    <w:pPr>
      <w:spacing w:after="100"/>
      <w:ind w:left="1680"/>
    </w:pPr>
  </w:style>
  <w:style w:type="paragraph" w:styleId="Sommario9">
    <w:name w:val="toc 9"/>
    <w:basedOn w:val="Normale"/>
    <w:next w:val="Normale"/>
    <w:autoRedefine/>
    <w:uiPriority w:val="99"/>
    <w:semiHidden/>
    <w:rsid w:val="002D2C99"/>
    <w:pPr>
      <w:spacing w:after="100"/>
      <w:ind w:left="1920"/>
    </w:pPr>
  </w:style>
  <w:style w:type="paragraph" w:customStyle="1" w:styleId="OpiParaSub">
    <w:name w:val="Opi_Para_Sub"/>
    <w:basedOn w:val="JuParaSub"/>
    <w:uiPriority w:val="47"/>
    <w:qFormat/>
    <w:rsid w:val="00BE7CE0"/>
  </w:style>
  <w:style w:type="paragraph" w:customStyle="1" w:styleId="OpiQuot">
    <w:name w:val="Opi_Quot"/>
    <w:basedOn w:val="ECHRParaQuote"/>
    <w:uiPriority w:val="48"/>
    <w:qFormat/>
    <w:rsid w:val="00BE7CE0"/>
  </w:style>
  <w:style w:type="paragraph" w:customStyle="1" w:styleId="ECHRFooter">
    <w:name w:val="ECHR_Footer"/>
    <w:aliases w:val="Footer_ECHR"/>
    <w:basedOn w:val="Pidipagina"/>
    <w:uiPriority w:val="57"/>
    <w:semiHidden/>
    <w:rsid w:val="00BE7CE0"/>
    <w:pPr>
      <w:jc w:val="left"/>
    </w:pPr>
    <w:rPr>
      <w:sz w:val="8"/>
    </w:rPr>
  </w:style>
  <w:style w:type="paragraph" w:customStyle="1" w:styleId="ECHRFooterLine">
    <w:name w:val="ECHR_Footer_Line"/>
    <w:aliases w:val="Footer_Line"/>
    <w:basedOn w:val="Normale"/>
    <w:next w:val="ECHRFooter"/>
    <w:uiPriority w:val="57"/>
    <w:semiHidden/>
    <w:rsid w:val="00BE7CE0"/>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e"/>
    <w:next w:val="ECHRPara"/>
    <w:uiPriority w:val="8"/>
    <w:qFormat/>
    <w:rsid w:val="00BE7CE0"/>
    <w:pPr>
      <w:spacing w:after="240"/>
      <w:jc w:val="center"/>
      <w:outlineLvl w:val="0"/>
    </w:pPr>
    <w:rPr>
      <w:rFonts w:asciiTheme="majorHAnsi" w:hAnsiTheme="majorHAnsi"/>
    </w:rPr>
  </w:style>
  <w:style w:type="paragraph" w:customStyle="1" w:styleId="OpiQuotSub">
    <w:name w:val="Opi_Quot_Sub"/>
    <w:basedOn w:val="JuQuotSub"/>
    <w:uiPriority w:val="49"/>
    <w:qFormat/>
    <w:rsid w:val="00BE7CE0"/>
  </w:style>
  <w:style w:type="paragraph" w:customStyle="1" w:styleId="OpiTranslation">
    <w:name w:val="Opi_Translation"/>
    <w:basedOn w:val="Normale"/>
    <w:next w:val="OpiPara"/>
    <w:uiPriority w:val="40"/>
    <w:qFormat/>
    <w:rsid w:val="00BE7CE0"/>
    <w:pPr>
      <w:jc w:val="center"/>
      <w:outlineLvl w:val="0"/>
    </w:pPr>
    <w:rPr>
      <w:i/>
    </w:rPr>
  </w:style>
  <w:style w:type="paragraph" w:customStyle="1" w:styleId="JuTitle">
    <w:name w:val="Ju_Title"/>
    <w:basedOn w:val="Normale"/>
    <w:next w:val="ECHRPara"/>
    <w:uiPriority w:val="3"/>
    <w:qFormat/>
    <w:rsid w:val="00BE7CE0"/>
    <w:pPr>
      <w:spacing w:before="720" w:after="240"/>
      <w:jc w:val="center"/>
      <w:outlineLvl w:val="0"/>
    </w:pPr>
    <w:rPr>
      <w:rFonts w:asciiTheme="majorHAnsi" w:hAnsiTheme="majorHAnsi"/>
      <w:b/>
      <w:caps/>
    </w:rPr>
  </w:style>
  <w:style w:type="character" w:customStyle="1" w:styleId="ECHRParaChar">
    <w:name w:val="ECHR_Para Char"/>
    <w:aliases w:val="Ju_Para Char"/>
    <w:link w:val="ECHRPara"/>
    <w:uiPriority w:val="12"/>
    <w:rsid w:val="00847E84"/>
    <w:rPr>
      <w:rFonts w:eastAsiaTheme="minorEastAsia"/>
      <w:sz w:val="24"/>
    </w:rPr>
  </w:style>
  <w:style w:type="character" w:customStyle="1" w:styleId="JuQuotChar">
    <w:name w:val="Ju_Quot Char"/>
    <w:basedOn w:val="Carpredefinitoparagrafo"/>
    <w:link w:val="ECHRParaQuote"/>
    <w:uiPriority w:val="14"/>
    <w:rsid w:val="00847E84"/>
    <w:rPr>
      <w:rFonts w:eastAsiaTheme="minorEastAsia"/>
      <w:sz w:val="20"/>
    </w:rPr>
  </w:style>
  <w:style w:type="character" w:customStyle="1" w:styleId="JuHaChar0">
    <w:name w:val="Ju_H_a Char"/>
    <w:basedOn w:val="Carpredefinitoparagrafo"/>
    <w:link w:val="ECHRHeading4"/>
    <w:uiPriority w:val="22"/>
    <w:rsid w:val="00847E84"/>
    <w:rPr>
      <w:rFonts w:asciiTheme="majorHAnsi" w:eastAsiaTheme="majorEastAsia" w:hAnsiTheme="majorHAnsi" w:cstheme="majorBidi"/>
      <w:b/>
      <w:bCs/>
      <w:iCs/>
      <w:sz w:val="20"/>
    </w:rPr>
  </w:style>
  <w:style w:type="character" w:customStyle="1" w:styleId="JuHAChar">
    <w:name w:val="Ju_H_A Char"/>
    <w:link w:val="ECHRHeading2"/>
    <w:uiPriority w:val="20"/>
    <w:rsid w:val="00847E84"/>
    <w:rPr>
      <w:rFonts w:asciiTheme="majorHAnsi" w:eastAsiaTheme="majorEastAsia" w:hAnsiTheme="majorHAnsi" w:cstheme="majorBidi"/>
      <w:b/>
      <w:bCs/>
      <w:sz w:val="24"/>
      <w:szCs w:val="26"/>
    </w:rPr>
  </w:style>
  <w:style w:type="paragraph" w:styleId="Revisione">
    <w:name w:val="Revision"/>
    <w:hidden/>
    <w:uiPriority w:val="99"/>
    <w:semiHidden/>
    <w:rsid w:val="00847E84"/>
    <w:rPr>
      <w:rFonts w:eastAsiaTheme="minorEastAsia"/>
      <w:sz w:val="24"/>
    </w:rPr>
  </w:style>
  <w:style w:type="character" w:customStyle="1" w:styleId="CLLItalic">
    <w:name w:val="CLL_Italic"/>
    <w:basedOn w:val="Carpredefinitoparagrafo"/>
    <w:uiPriority w:val="1"/>
    <w:rsid w:val="00FE73C2"/>
    <w:rPr>
      <w:i/>
      <w:iCs/>
      <w:color w:val="auto"/>
      <w:lang w:val="fr-FR"/>
    </w:rPr>
  </w:style>
  <w:style w:type="character" w:customStyle="1" w:styleId="CLLSuperscript">
    <w:name w:val="CLL_Superscript"/>
    <w:basedOn w:val="Carpredefinitoparagrafo"/>
    <w:uiPriority w:val="1"/>
    <w:rsid w:val="00FE73C2"/>
    <w:rPr>
      <w:b w:val="0"/>
      <w:i w:val="0"/>
      <w:vertAlign w:val="superscrip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00B86-365A-45EB-ADDF-F2880A404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453DCC-C46F-46AE-A5D9-0E6301D1F8BA}">
  <ds:schemaRefs>
    <ds:schemaRef ds:uri="http://schemas.microsoft.com/sharepoint/v3/contenttype/forms"/>
  </ds:schemaRefs>
</ds:datastoreItem>
</file>

<file path=customXml/itemProps3.xml><?xml version="1.0" encoding="utf-8"?>
<ds:datastoreItem xmlns:ds="http://schemas.openxmlformats.org/officeDocument/2006/customXml" ds:itemID="{AAF768D9-9B95-4810-8417-BB4CE24676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5316FF-385B-45AD-A6E2-514A43F7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10334</Words>
  <Characters>58906</Characters>
  <Application>Microsoft Office Word</Application>
  <DocSecurity>0</DocSecurity>
  <Lines>490</Lines>
  <Paragraphs>138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2017-07-03T13:43:00Z</dcterms:created>
  <dcterms:modified xsi:type="dcterms:W3CDTF">2017-07-03T13:43:00Z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12131/13</vt:lpwstr>
  </property>
  <property fmtid="{D5CDD505-2E9C-101B-9397-08002B2CF9AE}" pid="4" name="CASEID">
    <vt:lpwstr>862577</vt:lpwstr>
  </property>
  <property fmtid="{D5CDD505-2E9C-101B-9397-08002B2CF9AE}" pid="5" name="ContentTypeId">
    <vt:lpwstr>0x010100558EB02BDB9E204AB350EDD385B68E10</vt:lpwstr>
  </property>
</Properties>
</file>